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661" w:rsidRPr="00F35661" w:rsidRDefault="00F35661" w:rsidP="00F35661">
      <w:pPr>
        <w:jc w:val="center"/>
        <w:rPr>
          <w:b/>
          <w:sz w:val="28"/>
          <w:lang w:val="en-US"/>
        </w:rPr>
      </w:pPr>
      <w:r w:rsidRPr="00F35661">
        <w:rPr>
          <w:b/>
          <w:sz w:val="28"/>
          <w:lang w:val="en-US"/>
        </w:rPr>
        <w:t>Submission of the technical documentation under the MDR</w:t>
      </w:r>
      <w:r w:rsidR="006251DD">
        <w:rPr>
          <w:b/>
          <w:sz w:val="28"/>
          <w:lang w:val="en-US"/>
        </w:rPr>
        <w:t xml:space="preserve"> - </w:t>
      </w:r>
      <w:bookmarkStart w:id="0" w:name="_GoBack"/>
      <w:bookmarkEnd w:id="0"/>
    </w:p>
    <w:p w:rsidR="00F35661" w:rsidRPr="00F35661" w:rsidRDefault="00F35661" w:rsidP="00F35661">
      <w:pPr>
        <w:jc w:val="center"/>
        <w:rPr>
          <w:b/>
          <w:sz w:val="28"/>
          <w:lang w:val="en-US"/>
        </w:rPr>
      </w:pPr>
      <w:r w:rsidRPr="00F35661">
        <w:rPr>
          <w:b/>
          <w:sz w:val="28"/>
          <w:lang w:val="en-US"/>
        </w:rPr>
        <w:t>a guideline for manufacturers</w:t>
      </w:r>
    </w:p>
    <w:p w:rsidR="0030603A" w:rsidRPr="00DB3373" w:rsidRDefault="0030603A" w:rsidP="00CB624E">
      <w:pPr>
        <w:rPr>
          <w:lang w:val="en-US"/>
        </w:rPr>
      </w:pPr>
    </w:p>
    <w:p w:rsidR="00F35661" w:rsidRPr="00F35661" w:rsidRDefault="00F35661" w:rsidP="00F35661">
      <w:pPr>
        <w:rPr>
          <w:lang w:val="en-US"/>
        </w:rPr>
      </w:pPr>
    </w:p>
    <w:p w:rsidR="00F35661" w:rsidRPr="00F35661" w:rsidRDefault="00F35661" w:rsidP="00F35661">
      <w:pPr>
        <w:rPr>
          <w:lang w:val="en-US"/>
        </w:rPr>
      </w:pPr>
      <w:r w:rsidRPr="00F35661">
        <w:rPr>
          <w:lang w:val="en-US"/>
        </w:rPr>
        <w:t>As already announced in the Starterkit I, we would like to provide you - immediately after our notification - with hands-on and detailed information about the application procedure at DQS Medizinprodukte GmbH in order to ensure that the procedures run as smoothly as possible.</w:t>
      </w:r>
    </w:p>
    <w:p w:rsidR="00F35661" w:rsidRPr="00F35661" w:rsidRDefault="00F35661" w:rsidP="00F35661">
      <w:pPr>
        <w:rPr>
          <w:lang w:val="en-US"/>
        </w:rPr>
      </w:pPr>
    </w:p>
    <w:p w:rsidR="00F35661" w:rsidRPr="00F35661" w:rsidRDefault="00F35661" w:rsidP="00F35661">
      <w:pPr>
        <w:rPr>
          <w:lang w:val="en-US"/>
        </w:rPr>
      </w:pPr>
      <w:r w:rsidRPr="00F35661">
        <w:rPr>
          <w:lang w:val="en-US"/>
        </w:rPr>
        <w:t xml:space="preserve">This document of the Starterkit II, gives you the necessary information to submit the technical documentation in a form that ensures a swift conformity assessment by our experts. </w:t>
      </w:r>
    </w:p>
    <w:p w:rsidR="00F35661" w:rsidRPr="00F35661" w:rsidRDefault="00F35661" w:rsidP="00F35661">
      <w:pPr>
        <w:rPr>
          <w:lang w:val="en-US"/>
        </w:rPr>
      </w:pPr>
    </w:p>
    <w:p w:rsidR="00F35661" w:rsidRPr="00F35661" w:rsidRDefault="00F35661" w:rsidP="00F35661">
      <w:pPr>
        <w:rPr>
          <w:lang w:val="en-US"/>
        </w:rPr>
      </w:pPr>
      <w:r w:rsidRPr="00F35661">
        <w:rPr>
          <w:lang w:val="en-US"/>
        </w:rPr>
        <w:t>Not only are there technical specifications to be observed, but the MDR also imposes requirements on the form and comprehensibility of the technical documentation. This section of the starter kit elaborates on the specifications regarding the product file - and the related documentation - and gives examples of how to implement them.</w:t>
      </w:r>
    </w:p>
    <w:p w:rsidR="00F35661" w:rsidRPr="00F35661" w:rsidRDefault="00F35661" w:rsidP="00F35661">
      <w:pPr>
        <w:rPr>
          <w:lang w:val="en-US"/>
        </w:rPr>
      </w:pPr>
      <w:r w:rsidRPr="00F35661">
        <w:rPr>
          <w:lang w:val="en-US"/>
        </w:rPr>
        <w:t>It also provides the regulatory background on the submission of product files and accompanying documentation as well as checklists on various related topics.</w:t>
      </w:r>
    </w:p>
    <w:p w:rsidR="00F35661" w:rsidRPr="00F35661" w:rsidRDefault="00F35661" w:rsidP="00F35661">
      <w:pPr>
        <w:rPr>
          <w:lang w:val="en-US"/>
        </w:rPr>
      </w:pPr>
    </w:p>
    <w:p w:rsidR="009941A0" w:rsidRPr="00DB3373" w:rsidRDefault="009941A0" w:rsidP="00CB624E">
      <w:pPr>
        <w:rPr>
          <w:lang w:val="en-US"/>
        </w:rPr>
      </w:pPr>
    </w:p>
    <w:p w:rsidR="00084F74" w:rsidRPr="00DB3373" w:rsidRDefault="00084F74" w:rsidP="00084F74">
      <w:pPr>
        <w:jc w:val="center"/>
        <w:rPr>
          <w:b/>
          <w:sz w:val="28"/>
          <w:lang w:val="en-US"/>
        </w:rPr>
      </w:pPr>
    </w:p>
    <w:sdt>
      <w:sdtPr>
        <w:rPr>
          <w:b w:val="0"/>
          <w:sz w:val="20"/>
        </w:rPr>
        <w:id w:val="950127880"/>
        <w:docPartObj>
          <w:docPartGallery w:val="Table of Contents"/>
          <w:docPartUnique/>
        </w:docPartObj>
      </w:sdtPr>
      <w:sdtEndPr>
        <w:rPr>
          <w:bCs/>
        </w:rPr>
      </w:sdtEndPr>
      <w:sdtContent>
        <w:p w:rsidR="00632DEB" w:rsidRPr="00632DEB" w:rsidRDefault="00632DEB" w:rsidP="008A6901">
          <w:pPr>
            <w:pStyle w:val="Inhaltsverzeichnisberschrift"/>
            <w:tabs>
              <w:tab w:val="left" w:pos="440"/>
              <w:tab w:val="right" w:leader="dot" w:pos="9062"/>
            </w:tabs>
            <w:rPr>
              <w:rFonts w:eastAsiaTheme="minorEastAsia"/>
              <w:noProof/>
              <w:sz w:val="22"/>
              <w:szCs w:val="22"/>
              <w:lang w:val="en-GB" w:eastAsia="de-DE"/>
            </w:rPr>
          </w:pPr>
          <w:r w:rsidRPr="00632DEB">
            <w:rPr>
              <w:sz w:val="22"/>
              <w:szCs w:val="22"/>
              <w:lang w:val="en-US"/>
            </w:rPr>
            <w:t>Available conformity assessment procedures carried out by DQS Medizinprodukte GmbH</w:t>
          </w:r>
          <w:r w:rsidRPr="00632DEB">
            <w:rPr>
              <w:b w:val="0"/>
              <w:sz w:val="22"/>
              <w:szCs w:val="22"/>
              <w:lang w:val="en-GB"/>
            </w:rPr>
            <w:t xml:space="preserve"> </w:t>
          </w:r>
        </w:p>
        <w:p w:rsidR="005875BF" w:rsidRPr="00632DEB" w:rsidRDefault="00084F74" w:rsidP="00632DEB">
          <w:pPr>
            <w:pStyle w:val="berschrift1"/>
            <w:rPr>
              <w:rFonts w:eastAsiaTheme="minorEastAsia"/>
              <w:noProof/>
              <w:sz w:val="22"/>
              <w:szCs w:val="22"/>
              <w:lang w:val="en-GB" w:eastAsia="de-DE"/>
            </w:rPr>
          </w:pPr>
          <w:r w:rsidRPr="00632DEB">
            <w:rPr>
              <w:sz w:val="22"/>
              <w:szCs w:val="22"/>
            </w:rPr>
            <w:fldChar w:fldCharType="begin"/>
          </w:r>
          <w:r w:rsidRPr="00632DEB">
            <w:rPr>
              <w:sz w:val="22"/>
              <w:szCs w:val="22"/>
              <w:lang w:val="en-GB"/>
            </w:rPr>
            <w:instrText xml:space="preserve"> TOC \o "1-3" \h \z \u </w:instrText>
          </w:r>
          <w:r w:rsidRPr="00632DEB">
            <w:rPr>
              <w:sz w:val="22"/>
              <w:szCs w:val="22"/>
            </w:rPr>
            <w:fldChar w:fldCharType="separate"/>
          </w:r>
          <w:hyperlink w:anchor="_Toc47933888" w:history="1">
            <w:r w:rsidR="005875BF" w:rsidRPr="00632DEB">
              <w:rPr>
                <w:rStyle w:val="Hyperlink"/>
                <w:noProof/>
                <w:sz w:val="22"/>
                <w:szCs w:val="22"/>
                <w:lang w:val="en-US"/>
              </w:rPr>
              <w:t>The new explicitness - regulatory background for the submission of technical documentation</w:t>
            </w:r>
            <w:r w:rsidR="005875BF" w:rsidRPr="00632DEB">
              <w:rPr>
                <w:noProof/>
                <w:webHidden/>
                <w:sz w:val="22"/>
                <w:szCs w:val="22"/>
                <w:lang w:val="en-GB"/>
              </w:rPr>
              <w:tab/>
            </w:r>
            <w:r w:rsidR="00632DEB" w:rsidRPr="00632DEB">
              <w:rPr>
                <w:noProof/>
                <w:webHidden/>
                <w:sz w:val="22"/>
                <w:szCs w:val="22"/>
                <w:lang w:val="en-GB"/>
              </w:rPr>
              <w:t xml:space="preserve"> </w:t>
            </w:r>
            <w:r w:rsidR="00632DEB" w:rsidRPr="00632DEB">
              <w:rPr>
                <w:noProof/>
                <w:webHidden/>
                <w:sz w:val="22"/>
                <w:szCs w:val="22"/>
                <w:lang w:val="en-GB"/>
              </w:rPr>
              <w:tab/>
            </w:r>
            <w:r w:rsidR="00632DEB" w:rsidRPr="00632DEB">
              <w:rPr>
                <w:noProof/>
                <w:webHidden/>
                <w:sz w:val="22"/>
                <w:szCs w:val="22"/>
                <w:lang w:val="en-GB"/>
              </w:rPr>
              <w:tab/>
            </w:r>
            <w:r w:rsidR="00632DEB" w:rsidRPr="00632DEB">
              <w:rPr>
                <w:noProof/>
                <w:webHidden/>
                <w:sz w:val="22"/>
                <w:szCs w:val="22"/>
                <w:lang w:val="en-GB"/>
              </w:rPr>
              <w:tab/>
            </w:r>
            <w:r w:rsidR="00632DEB" w:rsidRPr="00632DEB">
              <w:rPr>
                <w:noProof/>
                <w:webHidden/>
                <w:sz w:val="22"/>
                <w:szCs w:val="22"/>
                <w:lang w:val="en-GB"/>
              </w:rPr>
              <w:tab/>
            </w:r>
            <w:r w:rsidR="00632DEB" w:rsidRPr="00632DEB">
              <w:rPr>
                <w:noProof/>
                <w:webHidden/>
                <w:sz w:val="22"/>
                <w:szCs w:val="22"/>
                <w:lang w:val="en-GB"/>
              </w:rPr>
              <w:tab/>
            </w:r>
            <w:r w:rsidR="00632DEB" w:rsidRPr="00632DEB">
              <w:rPr>
                <w:noProof/>
                <w:webHidden/>
                <w:sz w:val="22"/>
                <w:szCs w:val="22"/>
                <w:lang w:val="en-GB"/>
              </w:rPr>
              <w:tab/>
            </w:r>
            <w:r w:rsidR="00632DEB">
              <w:rPr>
                <w:noProof/>
                <w:webHidden/>
                <w:sz w:val="22"/>
                <w:szCs w:val="22"/>
                <w:lang w:val="en-GB"/>
              </w:rPr>
              <w:tab/>
            </w:r>
            <w:r w:rsidR="00632DEB">
              <w:rPr>
                <w:noProof/>
                <w:webHidden/>
                <w:sz w:val="22"/>
                <w:szCs w:val="22"/>
                <w:lang w:val="en-GB"/>
              </w:rPr>
              <w:tab/>
            </w:r>
            <w:r w:rsidR="005875BF" w:rsidRPr="00632DEB">
              <w:rPr>
                <w:noProof/>
                <w:webHidden/>
                <w:sz w:val="22"/>
                <w:szCs w:val="22"/>
              </w:rPr>
              <w:fldChar w:fldCharType="begin"/>
            </w:r>
            <w:r w:rsidR="005875BF" w:rsidRPr="00632DEB">
              <w:rPr>
                <w:noProof/>
                <w:webHidden/>
                <w:sz w:val="22"/>
                <w:szCs w:val="22"/>
                <w:lang w:val="en-GB"/>
              </w:rPr>
              <w:instrText xml:space="preserve"> PAGEREF _Toc47933888 \h </w:instrText>
            </w:r>
            <w:r w:rsidR="005875BF" w:rsidRPr="00632DEB">
              <w:rPr>
                <w:noProof/>
                <w:webHidden/>
                <w:sz w:val="22"/>
                <w:szCs w:val="22"/>
              </w:rPr>
            </w:r>
            <w:r w:rsidR="005875BF" w:rsidRPr="00632DEB">
              <w:rPr>
                <w:noProof/>
                <w:webHidden/>
                <w:sz w:val="22"/>
                <w:szCs w:val="22"/>
              </w:rPr>
              <w:fldChar w:fldCharType="separate"/>
            </w:r>
            <w:r w:rsidR="005875BF" w:rsidRPr="00632DEB">
              <w:rPr>
                <w:noProof/>
                <w:webHidden/>
                <w:sz w:val="22"/>
                <w:szCs w:val="22"/>
                <w:lang w:val="en-GB"/>
              </w:rPr>
              <w:t>3</w:t>
            </w:r>
            <w:r w:rsidR="005875BF" w:rsidRPr="00632DEB">
              <w:rPr>
                <w:noProof/>
                <w:webHidden/>
                <w:sz w:val="22"/>
                <w:szCs w:val="22"/>
              </w:rPr>
              <w:fldChar w:fldCharType="end"/>
            </w:r>
          </w:hyperlink>
        </w:p>
        <w:p w:rsidR="005875BF" w:rsidRPr="00632DEB" w:rsidRDefault="006251DD" w:rsidP="00632DEB">
          <w:pPr>
            <w:pStyle w:val="berschrift1"/>
            <w:rPr>
              <w:rFonts w:eastAsiaTheme="minorEastAsia"/>
              <w:noProof/>
              <w:sz w:val="22"/>
              <w:szCs w:val="22"/>
              <w:lang w:eastAsia="de-DE"/>
            </w:rPr>
          </w:pPr>
          <w:hyperlink w:anchor="_Toc47933889" w:history="1">
            <w:r w:rsidR="00632DEB" w:rsidRPr="00632DEB">
              <w:rPr>
                <w:rStyle w:val="Hyperlink"/>
                <w:noProof/>
                <w:sz w:val="22"/>
                <w:szCs w:val="22"/>
                <w:lang w:val="en-US"/>
              </w:rPr>
              <w:t>I</w:t>
            </w:r>
            <w:r w:rsidR="005875BF" w:rsidRPr="00632DEB">
              <w:rPr>
                <w:rStyle w:val="Hyperlink"/>
                <w:noProof/>
                <w:sz w:val="22"/>
                <w:szCs w:val="22"/>
                <w:lang w:val="en-US"/>
              </w:rPr>
              <w:t>n plain language - what, when, how and in what form should documents be submitted</w:t>
            </w:r>
            <w:r w:rsidR="005875BF"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Pr>
                <w:noProof/>
                <w:webHidden/>
                <w:sz w:val="22"/>
                <w:szCs w:val="22"/>
              </w:rPr>
              <w:t xml:space="preserve">            </w:t>
            </w:r>
            <w:r w:rsidR="005875BF" w:rsidRPr="00632DEB">
              <w:rPr>
                <w:noProof/>
                <w:webHidden/>
                <w:sz w:val="22"/>
                <w:szCs w:val="22"/>
              </w:rPr>
              <w:fldChar w:fldCharType="begin"/>
            </w:r>
            <w:r w:rsidR="005875BF" w:rsidRPr="00632DEB">
              <w:rPr>
                <w:noProof/>
                <w:webHidden/>
                <w:sz w:val="22"/>
                <w:szCs w:val="22"/>
              </w:rPr>
              <w:instrText xml:space="preserve"> PAGEREF _Toc47933889 \h </w:instrText>
            </w:r>
            <w:r w:rsidR="005875BF" w:rsidRPr="00632DEB">
              <w:rPr>
                <w:noProof/>
                <w:webHidden/>
                <w:sz w:val="22"/>
                <w:szCs w:val="22"/>
              </w:rPr>
            </w:r>
            <w:r w:rsidR="005875BF" w:rsidRPr="00632DEB">
              <w:rPr>
                <w:noProof/>
                <w:webHidden/>
                <w:sz w:val="22"/>
                <w:szCs w:val="22"/>
              </w:rPr>
              <w:fldChar w:fldCharType="separate"/>
            </w:r>
            <w:r w:rsidR="005875BF" w:rsidRPr="00632DEB">
              <w:rPr>
                <w:noProof/>
                <w:webHidden/>
                <w:sz w:val="22"/>
                <w:szCs w:val="22"/>
              </w:rPr>
              <w:t>4</w:t>
            </w:r>
            <w:r w:rsidR="005875BF" w:rsidRPr="00632DEB">
              <w:rPr>
                <w:noProof/>
                <w:webHidden/>
                <w:sz w:val="22"/>
                <w:szCs w:val="22"/>
              </w:rPr>
              <w:fldChar w:fldCharType="end"/>
            </w:r>
          </w:hyperlink>
        </w:p>
        <w:p w:rsidR="005875BF" w:rsidRPr="00632DEB" w:rsidRDefault="006251DD" w:rsidP="00632DEB">
          <w:pPr>
            <w:pStyle w:val="berschrift1"/>
            <w:numPr>
              <w:ilvl w:val="0"/>
              <w:numId w:val="0"/>
            </w:numPr>
            <w:ind w:left="720"/>
            <w:rPr>
              <w:noProof/>
              <w:sz w:val="22"/>
              <w:szCs w:val="22"/>
            </w:rPr>
          </w:pPr>
          <w:hyperlink w:anchor="_Toc47933890" w:history="1">
            <w:r w:rsidR="005875BF" w:rsidRPr="00632DEB">
              <w:rPr>
                <w:rStyle w:val="Hyperlink"/>
                <w:noProof/>
                <w:sz w:val="22"/>
                <w:szCs w:val="22"/>
              </w:rPr>
              <w:t>3.1.</w:t>
            </w:r>
            <w:r w:rsidR="005875BF" w:rsidRPr="00632DEB">
              <w:rPr>
                <w:noProof/>
                <w:sz w:val="22"/>
                <w:szCs w:val="22"/>
              </w:rPr>
              <w:tab/>
            </w:r>
            <w:r w:rsidR="005875BF" w:rsidRPr="00632DEB">
              <w:rPr>
                <w:rStyle w:val="Hyperlink"/>
                <w:noProof/>
                <w:sz w:val="22"/>
                <w:szCs w:val="22"/>
              </w:rPr>
              <w:t>Format</w:t>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5875BF" w:rsidRPr="00632DEB">
              <w:rPr>
                <w:noProof/>
                <w:webHidden/>
                <w:sz w:val="22"/>
                <w:szCs w:val="22"/>
              </w:rPr>
              <w:fldChar w:fldCharType="begin"/>
            </w:r>
            <w:r w:rsidR="005875BF" w:rsidRPr="00632DEB">
              <w:rPr>
                <w:noProof/>
                <w:webHidden/>
                <w:sz w:val="22"/>
                <w:szCs w:val="22"/>
              </w:rPr>
              <w:instrText xml:space="preserve"> PAGEREF _Toc47933890 \h </w:instrText>
            </w:r>
            <w:r w:rsidR="005875BF" w:rsidRPr="00632DEB">
              <w:rPr>
                <w:noProof/>
                <w:webHidden/>
                <w:sz w:val="22"/>
                <w:szCs w:val="22"/>
              </w:rPr>
            </w:r>
            <w:r w:rsidR="005875BF" w:rsidRPr="00632DEB">
              <w:rPr>
                <w:noProof/>
                <w:webHidden/>
                <w:sz w:val="22"/>
                <w:szCs w:val="22"/>
              </w:rPr>
              <w:fldChar w:fldCharType="separate"/>
            </w:r>
            <w:r w:rsidR="005875BF" w:rsidRPr="00632DEB">
              <w:rPr>
                <w:noProof/>
                <w:webHidden/>
                <w:sz w:val="22"/>
                <w:szCs w:val="22"/>
              </w:rPr>
              <w:t>5</w:t>
            </w:r>
            <w:r w:rsidR="005875BF" w:rsidRPr="00632DEB">
              <w:rPr>
                <w:noProof/>
                <w:webHidden/>
                <w:sz w:val="22"/>
                <w:szCs w:val="22"/>
              </w:rPr>
              <w:fldChar w:fldCharType="end"/>
            </w:r>
          </w:hyperlink>
        </w:p>
        <w:p w:rsidR="005875BF" w:rsidRPr="00632DEB" w:rsidRDefault="006251DD" w:rsidP="00632DEB">
          <w:pPr>
            <w:pStyle w:val="berschrift1"/>
            <w:numPr>
              <w:ilvl w:val="0"/>
              <w:numId w:val="0"/>
            </w:numPr>
            <w:ind w:left="720"/>
            <w:rPr>
              <w:noProof/>
              <w:sz w:val="22"/>
              <w:szCs w:val="22"/>
            </w:rPr>
          </w:pPr>
          <w:hyperlink w:anchor="_Toc47933891" w:history="1">
            <w:r w:rsidR="005875BF" w:rsidRPr="00632DEB">
              <w:rPr>
                <w:rStyle w:val="Hyperlink"/>
                <w:noProof/>
                <w:sz w:val="22"/>
                <w:szCs w:val="22"/>
                <w:lang w:val="en-US"/>
              </w:rPr>
              <w:t>3.2.</w:t>
            </w:r>
            <w:r w:rsidR="005875BF" w:rsidRPr="00632DEB">
              <w:rPr>
                <w:noProof/>
                <w:sz w:val="22"/>
                <w:szCs w:val="22"/>
              </w:rPr>
              <w:tab/>
            </w:r>
            <w:r w:rsidR="005875BF" w:rsidRPr="00632DEB">
              <w:rPr>
                <w:rStyle w:val="Hyperlink"/>
                <w:noProof/>
                <w:sz w:val="22"/>
                <w:szCs w:val="22"/>
                <w:lang w:val="en-US"/>
              </w:rPr>
              <w:t>Structure of a product file</w:t>
            </w:r>
            <w:r w:rsidR="005875BF"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5875BF" w:rsidRPr="00632DEB">
              <w:rPr>
                <w:noProof/>
                <w:webHidden/>
                <w:sz w:val="22"/>
                <w:szCs w:val="22"/>
              </w:rPr>
              <w:fldChar w:fldCharType="begin"/>
            </w:r>
            <w:r w:rsidR="005875BF" w:rsidRPr="00632DEB">
              <w:rPr>
                <w:noProof/>
                <w:webHidden/>
                <w:sz w:val="22"/>
                <w:szCs w:val="22"/>
              </w:rPr>
              <w:instrText xml:space="preserve"> PAGEREF _Toc47933891 \h </w:instrText>
            </w:r>
            <w:r w:rsidR="005875BF" w:rsidRPr="00632DEB">
              <w:rPr>
                <w:noProof/>
                <w:webHidden/>
                <w:sz w:val="22"/>
                <w:szCs w:val="22"/>
              </w:rPr>
            </w:r>
            <w:r w:rsidR="005875BF" w:rsidRPr="00632DEB">
              <w:rPr>
                <w:noProof/>
                <w:webHidden/>
                <w:sz w:val="22"/>
                <w:szCs w:val="22"/>
              </w:rPr>
              <w:fldChar w:fldCharType="separate"/>
            </w:r>
            <w:r w:rsidR="005875BF" w:rsidRPr="00632DEB">
              <w:rPr>
                <w:noProof/>
                <w:webHidden/>
                <w:sz w:val="22"/>
                <w:szCs w:val="22"/>
              </w:rPr>
              <w:t>5</w:t>
            </w:r>
            <w:r w:rsidR="005875BF" w:rsidRPr="00632DEB">
              <w:rPr>
                <w:noProof/>
                <w:webHidden/>
                <w:sz w:val="22"/>
                <w:szCs w:val="22"/>
              </w:rPr>
              <w:fldChar w:fldCharType="end"/>
            </w:r>
          </w:hyperlink>
        </w:p>
        <w:p w:rsidR="005875BF" w:rsidRPr="00632DEB" w:rsidRDefault="006251DD" w:rsidP="00632DEB">
          <w:pPr>
            <w:pStyle w:val="berschrift1"/>
            <w:rPr>
              <w:rFonts w:eastAsiaTheme="minorEastAsia"/>
              <w:noProof/>
              <w:sz w:val="22"/>
              <w:szCs w:val="22"/>
              <w:lang w:eastAsia="de-DE"/>
            </w:rPr>
          </w:pPr>
          <w:hyperlink w:anchor="_Toc47933892" w:history="1">
            <w:r w:rsidR="005875BF" w:rsidRPr="00632DEB">
              <w:rPr>
                <w:rStyle w:val="Hyperlink"/>
                <w:noProof/>
                <w:sz w:val="22"/>
                <w:szCs w:val="22"/>
              </w:rPr>
              <w:t>Annexes:</w:t>
            </w:r>
            <w:r w:rsidR="005875BF"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632DEB" w:rsidRPr="00632DEB">
              <w:rPr>
                <w:noProof/>
                <w:webHidden/>
                <w:sz w:val="22"/>
                <w:szCs w:val="22"/>
              </w:rPr>
              <w:tab/>
            </w:r>
            <w:r w:rsidR="005875BF" w:rsidRPr="00632DEB">
              <w:rPr>
                <w:noProof/>
                <w:webHidden/>
                <w:sz w:val="22"/>
                <w:szCs w:val="22"/>
              </w:rPr>
              <w:fldChar w:fldCharType="begin"/>
            </w:r>
            <w:r w:rsidR="005875BF" w:rsidRPr="00632DEB">
              <w:rPr>
                <w:noProof/>
                <w:webHidden/>
                <w:sz w:val="22"/>
                <w:szCs w:val="22"/>
              </w:rPr>
              <w:instrText xml:space="preserve"> PAGEREF _Toc47933892 \h </w:instrText>
            </w:r>
            <w:r w:rsidR="005875BF" w:rsidRPr="00632DEB">
              <w:rPr>
                <w:noProof/>
                <w:webHidden/>
                <w:sz w:val="22"/>
                <w:szCs w:val="22"/>
              </w:rPr>
            </w:r>
            <w:r w:rsidR="005875BF" w:rsidRPr="00632DEB">
              <w:rPr>
                <w:noProof/>
                <w:webHidden/>
                <w:sz w:val="22"/>
                <w:szCs w:val="22"/>
              </w:rPr>
              <w:fldChar w:fldCharType="separate"/>
            </w:r>
            <w:r w:rsidR="005875BF" w:rsidRPr="00632DEB">
              <w:rPr>
                <w:noProof/>
                <w:webHidden/>
                <w:sz w:val="22"/>
                <w:szCs w:val="22"/>
              </w:rPr>
              <w:t>8</w:t>
            </w:r>
            <w:r w:rsidR="005875BF" w:rsidRPr="00632DEB">
              <w:rPr>
                <w:noProof/>
                <w:webHidden/>
                <w:sz w:val="22"/>
                <w:szCs w:val="22"/>
              </w:rPr>
              <w:fldChar w:fldCharType="end"/>
            </w:r>
          </w:hyperlink>
        </w:p>
        <w:p w:rsidR="00084F74" w:rsidRDefault="00084F74" w:rsidP="00084F74">
          <w:pPr>
            <w:rPr>
              <w:b/>
              <w:bCs/>
            </w:rPr>
          </w:pPr>
          <w:r w:rsidRPr="00632DEB">
            <w:rPr>
              <w:b/>
              <w:bCs/>
              <w:sz w:val="22"/>
              <w:szCs w:val="22"/>
            </w:rPr>
            <w:fldChar w:fldCharType="end"/>
          </w:r>
        </w:p>
      </w:sdtContent>
    </w:sdt>
    <w:p w:rsidR="00632DEB" w:rsidRDefault="00632DEB">
      <w:pPr>
        <w:jc w:val="left"/>
        <w:rPr>
          <w:b/>
          <w:bCs/>
        </w:rPr>
      </w:pPr>
    </w:p>
    <w:p w:rsidR="00B34866" w:rsidRDefault="00B34866">
      <w:pPr>
        <w:jc w:val="left"/>
        <w:rPr>
          <w:b/>
          <w:bCs/>
        </w:rPr>
      </w:pPr>
      <w:r>
        <w:rPr>
          <w:b/>
          <w:bCs/>
        </w:rPr>
        <w:br w:type="page"/>
      </w:r>
    </w:p>
    <w:tbl>
      <w:tblPr>
        <w:tblStyle w:val="Tabellenraster"/>
        <w:tblW w:w="5000" w:type="pct"/>
        <w:tblInd w:w="0" w:type="dxa"/>
        <w:tblLook w:val="04A0" w:firstRow="1" w:lastRow="0" w:firstColumn="1" w:lastColumn="0" w:noHBand="0" w:noVBand="1"/>
      </w:tblPr>
      <w:tblGrid>
        <w:gridCol w:w="1979"/>
        <w:gridCol w:w="2552"/>
        <w:gridCol w:w="4531"/>
      </w:tblGrid>
      <w:tr w:rsidR="00B34866" w:rsidRPr="00632DEB" w:rsidTr="00B45598">
        <w:trPr>
          <w:trHeight w:val="396"/>
        </w:trPr>
        <w:tc>
          <w:tcPr>
            <w:tcW w:w="5000" w:type="pct"/>
            <w:gridSpan w:val="3"/>
            <w:shd w:val="clear" w:color="auto" w:fill="B8CCE4" w:themeFill="accent1" w:themeFillTint="66"/>
          </w:tcPr>
          <w:p w:rsidR="00B34866" w:rsidRPr="00632DEB" w:rsidRDefault="00F35661" w:rsidP="00632DEB">
            <w:pPr>
              <w:pStyle w:val="Listenabsatz"/>
              <w:numPr>
                <w:ilvl w:val="0"/>
                <w:numId w:val="49"/>
              </w:numPr>
              <w:jc w:val="left"/>
              <w:rPr>
                <w:b/>
                <w:sz w:val="22"/>
                <w:szCs w:val="16"/>
                <w:lang w:val="en-US"/>
              </w:rPr>
            </w:pPr>
            <w:r w:rsidRPr="00632DEB">
              <w:rPr>
                <w:b/>
                <w:sz w:val="22"/>
                <w:lang w:val="en-US"/>
              </w:rPr>
              <w:lastRenderedPageBreak/>
              <w:t>Available conformity assessment procedures carried out by DQS Medizinprodukte GmbH</w:t>
            </w:r>
          </w:p>
        </w:tc>
      </w:tr>
      <w:tr w:rsidR="00B34866" w:rsidRPr="007D31F8" w:rsidTr="00B45598">
        <w:tc>
          <w:tcPr>
            <w:tcW w:w="1092" w:type="pct"/>
            <w:shd w:val="clear" w:color="auto" w:fill="B8CCE4" w:themeFill="accent1" w:themeFillTint="66"/>
          </w:tcPr>
          <w:p w:rsidR="00B34866" w:rsidRPr="007D31F8" w:rsidRDefault="00F35661" w:rsidP="00B45598">
            <w:pPr>
              <w:rPr>
                <w:b/>
                <w:sz w:val="18"/>
                <w:szCs w:val="16"/>
              </w:rPr>
            </w:pPr>
            <w:r>
              <w:rPr>
                <w:b/>
                <w:sz w:val="18"/>
                <w:szCs w:val="16"/>
              </w:rPr>
              <w:t>Risk class</w:t>
            </w:r>
          </w:p>
        </w:tc>
        <w:tc>
          <w:tcPr>
            <w:tcW w:w="1408" w:type="pct"/>
            <w:shd w:val="clear" w:color="auto" w:fill="B8CCE4" w:themeFill="accent1" w:themeFillTint="66"/>
          </w:tcPr>
          <w:p w:rsidR="00B34866" w:rsidRPr="007D31F8" w:rsidRDefault="00F35661" w:rsidP="00B45598">
            <w:pPr>
              <w:rPr>
                <w:b/>
                <w:sz w:val="18"/>
                <w:szCs w:val="16"/>
              </w:rPr>
            </w:pPr>
            <w:r w:rsidRPr="00F35661">
              <w:rPr>
                <w:b/>
                <w:sz w:val="18"/>
                <w:szCs w:val="16"/>
              </w:rPr>
              <w:t>Documents to be prepared</w:t>
            </w:r>
          </w:p>
        </w:tc>
        <w:tc>
          <w:tcPr>
            <w:tcW w:w="2500" w:type="pct"/>
            <w:shd w:val="clear" w:color="auto" w:fill="B8CCE4" w:themeFill="accent1" w:themeFillTint="66"/>
          </w:tcPr>
          <w:p w:rsidR="00B34866" w:rsidRPr="007D31F8" w:rsidRDefault="00F35661" w:rsidP="00B45598">
            <w:pPr>
              <w:rPr>
                <w:b/>
                <w:sz w:val="18"/>
                <w:szCs w:val="16"/>
              </w:rPr>
            </w:pPr>
            <w:r w:rsidRPr="00F35661">
              <w:rPr>
                <w:b/>
                <w:sz w:val="18"/>
                <w:szCs w:val="16"/>
              </w:rPr>
              <w:t>Conformity assessment procedure</w:t>
            </w:r>
          </w:p>
        </w:tc>
      </w:tr>
      <w:tr w:rsidR="00B34866" w:rsidRPr="00632DEB" w:rsidTr="00B45598">
        <w:tc>
          <w:tcPr>
            <w:tcW w:w="1092" w:type="pct"/>
            <w:shd w:val="clear" w:color="auto" w:fill="F2F2F2" w:themeFill="background1" w:themeFillShade="F2"/>
            <w:vAlign w:val="center"/>
          </w:tcPr>
          <w:p w:rsidR="00B34866" w:rsidRPr="00C358C1" w:rsidRDefault="00B34866" w:rsidP="00B45598">
            <w:pPr>
              <w:jc w:val="left"/>
              <w:rPr>
                <w:b/>
                <w:sz w:val="16"/>
                <w:szCs w:val="16"/>
              </w:rPr>
            </w:pPr>
            <w:r w:rsidRPr="00C358C1">
              <w:rPr>
                <w:b/>
                <w:sz w:val="16"/>
                <w:szCs w:val="16"/>
              </w:rPr>
              <w:t>I</w:t>
            </w:r>
          </w:p>
        </w:tc>
        <w:tc>
          <w:tcPr>
            <w:tcW w:w="1408" w:type="pct"/>
            <w:shd w:val="clear" w:color="auto" w:fill="F2F2F2" w:themeFill="background1" w:themeFillShade="F2"/>
            <w:vAlign w:val="center"/>
          </w:tcPr>
          <w:p w:rsidR="00F35661" w:rsidRPr="00F35661" w:rsidRDefault="00F35661" w:rsidP="00F35661">
            <w:pPr>
              <w:jc w:val="left"/>
              <w:rPr>
                <w:sz w:val="16"/>
                <w:szCs w:val="16"/>
                <w:lang w:val="en-US"/>
              </w:rPr>
            </w:pPr>
            <w:r w:rsidRPr="00F35661">
              <w:rPr>
                <w:sz w:val="16"/>
                <w:szCs w:val="16"/>
                <w:lang w:val="en-US"/>
              </w:rPr>
              <w:t>Annex I, MDR Essential safety and performance requirements</w:t>
            </w:r>
          </w:p>
          <w:p w:rsidR="00F35661" w:rsidRPr="00DB3373" w:rsidRDefault="00F35661" w:rsidP="00F35661">
            <w:pPr>
              <w:jc w:val="left"/>
              <w:rPr>
                <w:sz w:val="16"/>
                <w:szCs w:val="16"/>
                <w:lang w:val="en-US"/>
              </w:rPr>
            </w:pPr>
            <w:r w:rsidRPr="00DB3373">
              <w:rPr>
                <w:sz w:val="16"/>
                <w:szCs w:val="16"/>
                <w:lang w:val="en-US"/>
              </w:rPr>
              <w:t>Annex II, MDR Technical Documentation</w:t>
            </w:r>
          </w:p>
          <w:p w:rsidR="00B34866" w:rsidRPr="00F35661" w:rsidRDefault="00F35661" w:rsidP="00F35661">
            <w:pPr>
              <w:jc w:val="left"/>
              <w:rPr>
                <w:sz w:val="16"/>
                <w:szCs w:val="16"/>
                <w:lang w:val="en-US"/>
              </w:rPr>
            </w:pPr>
            <w:r w:rsidRPr="00F35661">
              <w:rPr>
                <w:sz w:val="16"/>
                <w:szCs w:val="16"/>
                <w:lang w:val="en-US"/>
              </w:rPr>
              <w:t>Annex III, MDR: Technical documentation on PMS</w:t>
            </w:r>
          </w:p>
        </w:tc>
        <w:tc>
          <w:tcPr>
            <w:tcW w:w="2500" w:type="pct"/>
            <w:shd w:val="clear" w:color="auto" w:fill="F2F2F2" w:themeFill="background1" w:themeFillShade="F2"/>
            <w:vAlign w:val="center"/>
          </w:tcPr>
          <w:p w:rsidR="00BC7BF3" w:rsidRPr="00BC7BF3" w:rsidRDefault="00BC7BF3" w:rsidP="00BC7BF3">
            <w:pPr>
              <w:pStyle w:val="Listenabsatz"/>
              <w:numPr>
                <w:ilvl w:val="0"/>
                <w:numId w:val="18"/>
              </w:numPr>
              <w:jc w:val="left"/>
              <w:rPr>
                <w:sz w:val="16"/>
                <w:szCs w:val="16"/>
                <w:lang w:val="en-US"/>
              </w:rPr>
            </w:pPr>
            <w:r w:rsidRPr="00BC7BF3">
              <w:rPr>
                <w:sz w:val="16"/>
                <w:szCs w:val="16"/>
                <w:lang w:val="en-US"/>
              </w:rPr>
              <w:t xml:space="preserve">Self-declaration (EU declaration of conformity), </w:t>
            </w:r>
          </w:p>
          <w:p w:rsidR="00B34866" w:rsidRPr="00BC7BF3" w:rsidRDefault="00BC7BF3" w:rsidP="00BC7BF3">
            <w:pPr>
              <w:pStyle w:val="Listenabsatz"/>
              <w:numPr>
                <w:ilvl w:val="0"/>
                <w:numId w:val="18"/>
              </w:numPr>
              <w:jc w:val="left"/>
              <w:rPr>
                <w:sz w:val="16"/>
                <w:szCs w:val="16"/>
                <w:lang w:val="en-US"/>
              </w:rPr>
            </w:pPr>
            <w:r w:rsidRPr="00BC7BF3">
              <w:rPr>
                <w:sz w:val="16"/>
                <w:szCs w:val="16"/>
                <w:lang w:val="en-US"/>
              </w:rPr>
              <w:t>CE marking of products without number of a Notified Body</w:t>
            </w:r>
          </w:p>
        </w:tc>
      </w:tr>
      <w:tr w:rsidR="00B34866" w:rsidRPr="00632DEB" w:rsidTr="00B45598">
        <w:tc>
          <w:tcPr>
            <w:tcW w:w="1092" w:type="pct"/>
            <w:shd w:val="clear" w:color="auto" w:fill="DBE5F1" w:themeFill="accent1" w:themeFillTint="33"/>
            <w:vAlign w:val="center"/>
          </w:tcPr>
          <w:p w:rsidR="00B34866" w:rsidRPr="00C358C1" w:rsidRDefault="00B34866" w:rsidP="00B45598">
            <w:pPr>
              <w:jc w:val="left"/>
              <w:rPr>
                <w:b/>
                <w:sz w:val="16"/>
                <w:szCs w:val="16"/>
              </w:rPr>
            </w:pPr>
            <w:r w:rsidRPr="00C358C1">
              <w:rPr>
                <w:b/>
                <w:sz w:val="16"/>
                <w:szCs w:val="16"/>
              </w:rPr>
              <w:t>Ir, Is, Im</w:t>
            </w:r>
          </w:p>
        </w:tc>
        <w:tc>
          <w:tcPr>
            <w:tcW w:w="1408" w:type="pct"/>
            <w:shd w:val="clear" w:color="auto" w:fill="DBE5F1" w:themeFill="accent1" w:themeFillTint="33"/>
            <w:vAlign w:val="center"/>
          </w:tcPr>
          <w:p w:rsidR="00F35661" w:rsidRPr="00F35661" w:rsidRDefault="00F35661" w:rsidP="00F35661">
            <w:pPr>
              <w:jc w:val="left"/>
              <w:rPr>
                <w:sz w:val="16"/>
                <w:szCs w:val="16"/>
                <w:lang w:val="en-US"/>
              </w:rPr>
            </w:pPr>
            <w:r w:rsidRPr="00F35661">
              <w:rPr>
                <w:sz w:val="16"/>
                <w:szCs w:val="16"/>
                <w:lang w:val="en-US"/>
              </w:rPr>
              <w:t>Annex I, MDR Essential safety and performance requirements</w:t>
            </w:r>
          </w:p>
          <w:p w:rsidR="00F35661" w:rsidRPr="00DB3373" w:rsidRDefault="00F35661" w:rsidP="00F35661">
            <w:pPr>
              <w:jc w:val="left"/>
              <w:rPr>
                <w:sz w:val="16"/>
                <w:szCs w:val="16"/>
                <w:lang w:val="en-US"/>
              </w:rPr>
            </w:pPr>
            <w:r w:rsidRPr="00DB3373">
              <w:rPr>
                <w:sz w:val="16"/>
                <w:szCs w:val="16"/>
                <w:lang w:val="en-US"/>
              </w:rPr>
              <w:t>Annex II, MDR Technical Documentation</w:t>
            </w:r>
          </w:p>
          <w:p w:rsidR="00B34866" w:rsidRPr="00F35661" w:rsidRDefault="00F35661" w:rsidP="00F35661">
            <w:pPr>
              <w:jc w:val="left"/>
              <w:rPr>
                <w:sz w:val="16"/>
                <w:szCs w:val="16"/>
                <w:lang w:val="en-US"/>
              </w:rPr>
            </w:pPr>
            <w:r w:rsidRPr="00F35661">
              <w:rPr>
                <w:sz w:val="16"/>
                <w:szCs w:val="16"/>
                <w:lang w:val="en-US"/>
              </w:rPr>
              <w:t>Annex III, MDR: Technical documentation on PMS</w:t>
            </w:r>
          </w:p>
        </w:tc>
        <w:tc>
          <w:tcPr>
            <w:tcW w:w="2500" w:type="pct"/>
            <w:shd w:val="clear" w:color="auto" w:fill="DBE5F1" w:themeFill="accent1" w:themeFillTint="33"/>
            <w:vAlign w:val="center"/>
          </w:tcPr>
          <w:p w:rsidR="00B34866" w:rsidRPr="00D42BC5" w:rsidRDefault="00BC7BF3" w:rsidP="00B45598">
            <w:pPr>
              <w:jc w:val="left"/>
              <w:rPr>
                <w:b/>
                <w:sz w:val="16"/>
                <w:szCs w:val="16"/>
              </w:rPr>
            </w:pPr>
            <w:r>
              <w:rPr>
                <w:b/>
                <w:sz w:val="16"/>
                <w:szCs w:val="16"/>
              </w:rPr>
              <w:t>Annex</w:t>
            </w:r>
            <w:r w:rsidR="00B34866" w:rsidRPr="00D42BC5">
              <w:rPr>
                <w:b/>
                <w:sz w:val="16"/>
                <w:szCs w:val="16"/>
              </w:rPr>
              <w:t xml:space="preserve"> IX:</w:t>
            </w:r>
          </w:p>
          <w:p w:rsidR="00BC7BF3" w:rsidRPr="00BC7BF3" w:rsidRDefault="00BC7BF3" w:rsidP="00BC7BF3">
            <w:pPr>
              <w:pStyle w:val="Listenabsatz"/>
              <w:numPr>
                <w:ilvl w:val="0"/>
                <w:numId w:val="19"/>
              </w:numPr>
              <w:jc w:val="left"/>
              <w:rPr>
                <w:sz w:val="16"/>
                <w:szCs w:val="16"/>
                <w:lang w:val="en-US"/>
              </w:rPr>
            </w:pPr>
            <w:r w:rsidRPr="00BC7BF3">
              <w:rPr>
                <w:sz w:val="16"/>
                <w:szCs w:val="16"/>
                <w:lang w:val="en-US"/>
              </w:rPr>
              <w:t>Submission of the relevant documents</w:t>
            </w:r>
          </w:p>
          <w:p w:rsidR="00BC7BF3" w:rsidRPr="00BC7BF3" w:rsidRDefault="00BC7BF3" w:rsidP="00BC7BF3">
            <w:pPr>
              <w:pStyle w:val="Listenabsatz"/>
              <w:numPr>
                <w:ilvl w:val="0"/>
                <w:numId w:val="19"/>
              </w:numPr>
              <w:jc w:val="left"/>
              <w:rPr>
                <w:sz w:val="16"/>
                <w:szCs w:val="16"/>
                <w:lang w:val="en-US"/>
              </w:rPr>
            </w:pPr>
            <w:r w:rsidRPr="00BC7BF3">
              <w:rPr>
                <w:sz w:val="16"/>
                <w:szCs w:val="16"/>
                <w:lang w:val="en-US"/>
              </w:rPr>
              <w:t>TD Review on sample basis</w:t>
            </w:r>
          </w:p>
          <w:p w:rsidR="00BC7BF3" w:rsidRPr="00BC7BF3" w:rsidRDefault="00BC7BF3" w:rsidP="00BC7BF3">
            <w:pPr>
              <w:pStyle w:val="Listenabsatz"/>
              <w:numPr>
                <w:ilvl w:val="0"/>
                <w:numId w:val="19"/>
              </w:numPr>
              <w:jc w:val="left"/>
              <w:rPr>
                <w:sz w:val="16"/>
                <w:szCs w:val="16"/>
              </w:rPr>
            </w:pPr>
            <w:r w:rsidRPr="00BC7BF3">
              <w:rPr>
                <w:sz w:val="16"/>
                <w:szCs w:val="16"/>
              </w:rPr>
              <w:t>Audit of the QMS</w:t>
            </w:r>
          </w:p>
          <w:p w:rsidR="00BC7BF3" w:rsidRPr="00BC7BF3" w:rsidRDefault="00BC7BF3" w:rsidP="00BC7BF3">
            <w:pPr>
              <w:pStyle w:val="Listenabsatz"/>
              <w:numPr>
                <w:ilvl w:val="0"/>
                <w:numId w:val="19"/>
              </w:numPr>
              <w:jc w:val="left"/>
              <w:rPr>
                <w:sz w:val="16"/>
                <w:szCs w:val="16"/>
              </w:rPr>
            </w:pPr>
            <w:r w:rsidRPr="00BC7BF3">
              <w:rPr>
                <w:sz w:val="16"/>
                <w:szCs w:val="16"/>
              </w:rPr>
              <w:t xml:space="preserve">Declaration of conformity, </w:t>
            </w:r>
          </w:p>
          <w:p w:rsidR="00B34866" w:rsidRPr="00BC7BF3" w:rsidRDefault="00BC7BF3" w:rsidP="00BC7BF3">
            <w:pPr>
              <w:pStyle w:val="Listenabsatz"/>
              <w:numPr>
                <w:ilvl w:val="0"/>
                <w:numId w:val="19"/>
              </w:numPr>
              <w:jc w:val="left"/>
              <w:rPr>
                <w:sz w:val="16"/>
                <w:szCs w:val="16"/>
                <w:lang w:val="en-US"/>
              </w:rPr>
            </w:pPr>
            <w:r w:rsidRPr="00BC7BF3">
              <w:rPr>
                <w:sz w:val="16"/>
                <w:szCs w:val="16"/>
                <w:lang w:val="en-US"/>
              </w:rPr>
              <w:t>CE marking of the products with number of a Notified Body</w:t>
            </w:r>
          </w:p>
        </w:tc>
      </w:tr>
      <w:tr w:rsidR="00B34866" w:rsidRPr="00632DEB" w:rsidTr="00B45598">
        <w:tc>
          <w:tcPr>
            <w:tcW w:w="1092" w:type="pct"/>
            <w:shd w:val="clear" w:color="auto" w:fill="F2F2F2" w:themeFill="background1" w:themeFillShade="F2"/>
            <w:vAlign w:val="center"/>
          </w:tcPr>
          <w:p w:rsidR="00B34866" w:rsidRPr="00C358C1" w:rsidRDefault="00B34866" w:rsidP="00B45598">
            <w:pPr>
              <w:jc w:val="left"/>
              <w:rPr>
                <w:b/>
                <w:sz w:val="16"/>
                <w:szCs w:val="16"/>
                <w:lang w:val="en-US"/>
              </w:rPr>
            </w:pPr>
            <w:r w:rsidRPr="00C358C1">
              <w:rPr>
                <w:b/>
                <w:sz w:val="16"/>
                <w:szCs w:val="16"/>
                <w:lang w:val="en-US"/>
              </w:rPr>
              <w:t>IIa</w:t>
            </w:r>
          </w:p>
        </w:tc>
        <w:tc>
          <w:tcPr>
            <w:tcW w:w="1408" w:type="pct"/>
            <w:shd w:val="clear" w:color="auto" w:fill="F2F2F2" w:themeFill="background1" w:themeFillShade="F2"/>
            <w:vAlign w:val="center"/>
          </w:tcPr>
          <w:p w:rsidR="00F35661" w:rsidRPr="00F35661" w:rsidRDefault="00F35661" w:rsidP="00F35661">
            <w:pPr>
              <w:jc w:val="left"/>
              <w:rPr>
                <w:sz w:val="16"/>
                <w:szCs w:val="16"/>
                <w:lang w:val="en-US"/>
              </w:rPr>
            </w:pPr>
            <w:r w:rsidRPr="00F35661">
              <w:rPr>
                <w:sz w:val="16"/>
                <w:szCs w:val="16"/>
                <w:lang w:val="en-US"/>
              </w:rPr>
              <w:t>Annex I, MDR Essential safety and performance requirements</w:t>
            </w:r>
          </w:p>
          <w:p w:rsidR="00F35661" w:rsidRPr="00DB3373" w:rsidRDefault="00F35661" w:rsidP="00F35661">
            <w:pPr>
              <w:jc w:val="left"/>
              <w:rPr>
                <w:sz w:val="16"/>
                <w:szCs w:val="16"/>
                <w:lang w:val="en-US"/>
              </w:rPr>
            </w:pPr>
            <w:r w:rsidRPr="00DB3373">
              <w:rPr>
                <w:sz w:val="16"/>
                <w:szCs w:val="16"/>
                <w:lang w:val="en-US"/>
              </w:rPr>
              <w:t>Annex II, MDR Technical Documentation</w:t>
            </w:r>
          </w:p>
          <w:p w:rsidR="00B34866" w:rsidRPr="00F35661" w:rsidRDefault="00F35661" w:rsidP="00F35661">
            <w:pPr>
              <w:jc w:val="left"/>
              <w:rPr>
                <w:sz w:val="16"/>
                <w:szCs w:val="16"/>
                <w:lang w:val="en-US"/>
              </w:rPr>
            </w:pPr>
            <w:r w:rsidRPr="00F35661">
              <w:rPr>
                <w:sz w:val="16"/>
                <w:szCs w:val="16"/>
                <w:lang w:val="en-US"/>
              </w:rPr>
              <w:t>Annex III, MDR: Technical documentation on PMS</w:t>
            </w:r>
          </w:p>
        </w:tc>
        <w:tc>
          <w:tcPr>
            <w:tcW w:w="2500" w:type="pct"/>
            <w:shd w:val="clear" w:color="auto" w:fill="F2F2F2" w:themeFill="background1" w:themeFillShade="F2"/>
            <w:vAlign w:val="center"/>
          </w:tcPr>
          <w:p w:rsidR="00BC7BF3" w:rsidRPr="00D42BC5" w:rsidRDefault="00BC7BF3" w:rsidP="00BC7BF3">
            <w:pPr>
              <w:jc w:val="left"/>
              <w:rPr>
                <w:b/>
                <w:sz w:val="16"/>
                <w:szCs w:val="16"/>
              </w:rPr>
            </w:pPr>
            <w:r>
              <w:rPr>
                <w:b/>
                <w:sz w:val="16"/>
                <w:szCs w:val="16"/>
              </w:rPr>
              <w:t>Annex</w:t>
            </w:r>
            <w:r w:rsidRPr="00D42BC5">
              <w:rPr>
                <w:b/>
                <w:sz w:val="16"/>
                <w:szCs w:val="16"/>
              </w:rPr>
              <w:t xml:space="preserve"> IX:</w:t>
            </w:r>
          </w:p>
          <w:p w:rsidR="00BC7BF3" w:rsidRPr="00BC7BF3" w:rsidRDefault="00BC7BF3" w:rsidP="00BC7BF3">
            <w:pPr>
              <w:pStyle w:val="Listenabsatz"/>
              <w:numPr>
                <w:ilvl w:val="0"/>
                <w:numId w:val="19"/>
              </w:numPr>
              <w:jc w:val="left"/>
              <w:rPr>
                <w:sz w:val="16"/>
                <w:szCs w:val="16"/>
                <w:lang w:val="en-US"/>
              </w:rPr>
            </w:pPr>
            <w:r w:rsidRPr="00BC7BF3">
              <w:rPr>
                <w:sz w:val="16"/>
                <w:szCs w:val="16"/>
                <w:lang w:val="en-US"/>
              </w:rPr>
              <w:t>Submission of the relevant documents</w:t>
            </w:r>
          </w:p>
          <w:p w:rsidR="00BC7BF3" w:rsidRPr="00BC7BF3" w:rsidRDefault="00BC7BF3" w:rsidP="00BC7BF3">
            <w:pPr>
              <w:pStyle w:val="Listenabsatz"/>
              <w:numPr>
                <w:ilvl w:val="0"/>
                <w:numId w:val="19"/>
              </w:numPr>
              <w:jc w:val="left"/>
              <w:rPr>
                <w:sz w:val="16"/>
                <w:szCs w:val="16"/>
                <w:lang w:val="en-US"/>
              </w:rPr>
            </w:pPr>
            <w:r w:rsidRPr="00BC7BF3">
              <w:rPr>
                <w:sz w:val="16"/>
                <w:szCs w:val="16"/>
                <w:lang w:val="en-US"/>
              </w:rPr>
              <w:t>TD Review on sample basis</w:t>
            </w:r>
          </w:p>
          <w:p w:rsidR="00BC7BF3" w:rsidRPr="00BC7BF3" w:rsidRDefault="00BC7BF3" w:rsidP="00BC7BF3">
            <w:pPr>
              <w:pStyle w:val="Listenabsatz"/>
              <w:numPr>
                <w:ilvl w:val="0"/>
                <w:numId w:val="19"/>
              </w:numPr>
              <w:jc w:val="left"/>
              <w:rPr>
                <w:sz w:val="16"/>
                <w:szCs w:val="16"/>
              </w:rPr>
            </w:pPr>
            <w:r w:rsidRPr="00BC7BF3">
              <w:rPr>
                <w:sz w:val="16"/>
                <w:szCs w:val="16"/>
              </w:rPr>
              <w:t>Audit of the QMS</w:t>
            </w:r>
          </w:p>
          <w:p w:rsidR="00BC7BF3" w:rsidRDefault="00BC7BF3" w:rsidP="00BC7BF3">
            <w:pPr>
              <w:pStyle w:val="Listenabsatz"/>
              <w:numPr>
                <w:ilvl w:val="0"/>
                <w:numId w:val="19"/>
              </w:numPr>
              <w:jc w:val="left"/>
              <w:rPr>
                <w:sz w:val="16"/>
                <w:szCs w:val="16"/>
              </w:rPr>
            </w:pPr>
            <w:r w:rsidRPr="00BC7BF3">
              <w:rPr>
                <w:sz w:val="16"/>
                <w:szCs w:val="16"/>
              </w:rPr>
              <w:t xml:space="preserve">Declaration of conformity, </w:t>
            </w:r>
          </w:p>
          <w:p w:rsidR="00BC7BF3" w:rsidRPr="00BC7BF3" w:rsidRDefault="00BC7BF3" w:rsidP="00BC7BF3">
            <w:pPr>
              <w:pStyle w:val="Listenabsatz"/>
              <w:numPr>
                <w:ilvl w:val="0"/>
                <w:numId w:val="19"/>
              </w:numPr>
              <w:jc w:val="left"/>
              <w:rPr>
                <w:sz w:val="16"/>
                <w:szCs w:val="16"/>
                <w:lang w:val="en-US"/>
              </w:rPr>
            </w:pPr>
            <w:r w:rsidRPr="00BC7BF3">
              <w:rPr>
                <w:sz w:val="16"/>
                <w:szCs w:val="16"/>
                <w:lang w:val="en-US"/>
              </w:rPr>
              <w:t>CE marking of the products with number of a Notified Body</w:t>
            </w:r>
            <w:r w:rsidRPr="00BC7BF3">
              <w:rPr>
                <w:b/>
                <w:sz w:val="16"/>
                <w:szCs w:val="16"/>
                <w:lang w:val="en-US"/>
              </w:rPr>
              <w:t xml:space="preserve"> </w:t>
            </w:r>
          </w:p>
          <w:p w:rsidR="00B34866" w:rsidRPr="00BC7BF3" w:rsidRDefault="00BC7BF3" w:rsidP="00BC7BF3">
            <w:pPr>
              <w:jc w:val="left"/>
              <w:rPr>
                <w:sz w:val="16"/>
                <w:szCs w:val="16"/>
                <w:lang w:val="en-US"/>
              </w:rPr>
            </w:pPr>
            <w:r>
              <w:rPr>
                <w:b/>
                <w:sz w:val="16"/>
                <w:szCs w:val="16"/>
                <w:lang w:val="en-US"/>
              </w:rPr>
              <w:t>Annex XI, Part</w:t>
            </w:r>
            <w:r w:rsidR="00B34866" w:rsidRPr="00BC7BF3">
              <w:rPr>
                <w:b/>
                <w:sz w:val="16"/>
                <w:szCs w:val="16"/>
                <w:lang w:val="en-US"/>
              </w:rPr>
              <w:t xml:space="preserve"> A</w:t>
            </w:r>
          </w:p>
          <w:p w:rsidR="00BC7BF3" w:rsidRPr="00BC7BF3" w:rsidRDefault="00BC7BF3" w:rsidP="00BC7BF3">
            <w:pPr>
              <w:pStyle w:val="Listenabsatz"/>
              <w:numPr>
                <w:ilvl w:val="0"/>
                <w:numId w:val="21"/>
              </w:numPr>
              <w:jc w:val="left"/>
              <w:rPr>
                <w:sz w:val="16"/>
                <w:szCs w:val="16"/>
                <w:lang w:val="en-US"/>
              </w:rPr>
            </w:pPr>
            <w:r w:rsidRPr="00BC7BF3">
              <w:rPr>
                <w:sz w:val="16"/>
                <w:szCs w:val="16"/>
                <w:lang w:val="en-US"/>
              </w:rPr>
              <w:t>Submission of the type examination certificate and the complete TD</w:t>
            </w:r>
          </w:p>
          <w:p w:rsidR="00BC7BF3" w:rsidRPr="00BC7BF3" w:rsidRDefault="00BC7BF3" w:rsidP="00BC7BF3">
            <w:pPr>
              <w:pStyle w:val="Listenabsatz"/>
              <w:numPr>
                <w:ilvl w:val="0"/>
                <w:numId w:val="21"/>
              </w:numPr>
              <w:jc w:val="left"/>
              <w:rPr>
                <w:sz w:val="16"/>
                <w:szCs w:val="16"/>
              </w:rPr>
            </w:pPr>
            <w:r w:rsidRPr="00BC7BF3">
              <w:rPr>
                <w:sz w:val="16"/>
                <w:szCs w:val="16"/>
              </w:rPr>
              <w:t xml:space="preserve">TD Review, </w:t>
            </w:r>
          </w:p>
          <w:p w:rsidR="00BC7BF3" w:rsidRPr="00BC7BF3" w:rsidRDefault="00BC7BF3" w:rsidP="00BC7BF3">
            <w:pPr>
              <w:pStyle w:val="Listenabsatz"/>
              <w:numPr>
                <w:ilvl w:val="0"/>
                <w:numId w:val="21"/>
              </w:numPr>
              <w:jc w:val="left"/>
              <w:rPr>
                <w:sz w:val="16"/>
                <w:szCs w:val="16"/>
                <w:lang w:val="en-US"/>
              </w:rPr>
            </w:pPr>
            <w:r w:rsidRPr="00BC7BF3">
              <w:rPr>
                <w:sz w:val="16"/>
                <w:szCs w:val="16"/>
                <w:lang w:val="en-US"/>
              </w:rPr>
              <w:t>Audit of the relevant QMS parts (quality assurance)</w:t>
            </w:r>
          </w:p>
          <w:p w:rsidR="00BC7BF3" w:rsidRPr="00BC7BF3" w:rsidRDefault="00BC7BF3" w:rsidP="00BC7BF3">
            <w:pPr>
              <w:pStyle w:val="Listenabsatz"/>
              <w:numPr>
                <w:ilvl w:val="0"/>
                <w:numId w:val="21"/>
              </w:numPr>
              <w:jc w:val="left"/>
              <w:rPr>
                <w:sz w:val="16"/>
                <w:szCs w:val="16"/>
              </w:rPr>
            </w:pPr>
            <w:r w:rsidRPr="00BC7BF3">
              <w:rPr>
                <w:sz w:val="16"/>
                <w:szCs w:val="16"/>
              </w:rPr>
              <w:t xml:space="preserve">Declaration of conformity, </w:t>
            </w:r>
          </w:p>
          <w:p w:rsidR="00B34866" w:rsidRPr="00BC7BF3" w:rsidRDefault="00BC7BF3" w:rsidP="00BC7BF3">
            <w:pPr>
              <w:pStyle w:val="Listenabsatz"/>
              <w:numPr>
                <w:ilvl w:val="0"/>
                <w:numId w:val="21"/>
              </w:numPr>
              <w:jc w:val="left"/>
              <w:rPr>
                <w:sz w:val="16"/>
                <w:szCs w:val="16"/>
                <w:lang w:val="en-US"/>
              </w:rPr>
            </w:pPr>
            <w:r w:rsidRPr="00BC7BF3">
              <w:rPr>
                <w:sz w:val="16"/>
                <w:szCs w:val="16"/>
                <w:lang w:val="en-US"/>
              </w:rPr>
              <w:t>CE marking of the products with number of a Notified Body</w:t>
            </w:r>
          </w:p>
        </w:tc>
      </w:tr>
      <w:tr w:rsidR="00B34866" w:rsidRPr="00632DEB" w:rsidTr="00B45598">
        <w:tc>
          <w:tcPr>
            <w:tcW w:w="1092" w:type="pct"/>
            <w:shd w:val="clear" w:color="auto" w:fill="DBE5F1" w:themeFill="accent1" w:themeFillTint="33"/>
            <w:vAlign w:val="center"/>
          </w:tcPr>
          <w:p w:rsidR="00B34866" w:rsidRPr="002F7995" w:rsidRDefault="002F7995" w:rsidP="00B45598">
            <w:pPr>
              <w:jc w:val="left"/>
              <w:rPr>
                <w:b/>
                <w:sz w:val="16"/>
                <w:szCs w:val="16"/>
                <w:lang w:val="en-US"/>
              </w:rPr>
            </w:pPr>
            <w:r w:rsidRPr="002F7995">
              <w:rPr>
                <w:b/>
                <w:sz w:val="16"/>
                <w:szCs w:val="16"/>
                <w:lang w:val="en-US"/>
              </w:rPr>
              <w:t xml:space="preserve">IIb non-implantable and implantable subject to </w:t>
            </w:r>
            <w:r>
              <w:rPr>
                <w:b/>
                <w:sz w:val="16"/>
                <w:szCs w:val="16"/>
                <w:lang w:val="en-US"/>
              </w:rPr>
              <w:t xml:space="preserve">the </w:t>
            </w:r>
            <w:r w:rsidRPr="002F7995">
              <w:rPr>
                <w:b/>
                <w:sz w:val="16"/>
                <w:szCs w:val="16"/>
                <w:lang w:val="en-US"/>
              </w:rPr>
              <w:t>exception</w:t>
            </w:r>
            <w:r>
              <w:rPr>
                <w:b/>
                <w:sz w:val="16"/>
                <w:szCs w:val="16"/>
                <w:lang w:val="en-US"/>
              </w:rPr>
              <w:t xml:space="preserve"> rules</w:t>
            </w:r>
            <w:r w:rsidRPr="002F7995">
              <w:rPr>
                <w:b/>
                <w:sz w:val="16"/>
                <w:szCs w:val="16"/>
                <w:lang w:val="en-US"/>
              </w:rPr>
              <w:t xml:space="preserve"> (screws etc.)</w:t>
            </w:r>
          </w:p>
        </w:tc>
        <w:tc>
          <w:tcPr>
            <w:tcW w:w="1408" w:type="pct"/>
            <w:shd w:val="clear" w:color="auto" w:fill="DBE5F1" w:themeFill="accent1" w:themeFillTint="33"/>
            <w:vAlign w:val="center"/>
          </w:tcPr>
          <w:p w:rsidR="00BC7BF3" w:rsidRPr="00BC7BF3" w:rsidRDefault="00BC7BF3" w:rsidP="00BC7BF3">
            <w:pPr>
              <w:jc w:val="left"/>
              <w:rPr>
                <w:sz w:val="16"/>
                <w:szCs w:val="16"/>
                <w:lang w:val="en-US"/>
              </w:rPr>
            </w:pPr>
            <w:r w:rsidRPr="00BC7BF3">
              <w:rPr>
                <w:sz w:val="16"/>
                <w:szCs w:val="16"/>
                <w:lang w:val="en-US"/>
              </w:rPr>
              <w:t>Annex I, MDR Essential safety and performance requirements</w:t>
            </w:r>
          </w:p>
          <w:p w:rsidR="00BC7BF3" w:rsidRPr="00DB3373" w:rsidRDefault="00BC7BF3" w:rsidP="00BC7BF3">
            <w:pPr>
              <w:jc w:val="left"/>
              <w:rPr>
                <w:sz w:val="16"/>
                <w:szCs w:val="16"/>
                <w:lang w:val="en-US"/>
              </w:rPr>
            </w:pPr>
            <w:r w:rsidRPr="00DB3373">
              <w:rPr>
                <w:sz w:val="16"/>
                <w:szCs w:val="16"/>
                <w:lang w:val="en-US"/>
              </w:rPr>
              <w:t>Annex II, MDR Technical Documentation</w:t>
            </w:r>
          </w:p>
          <w:p w:rsidR="00B34866" w:rsidRPr="00BC7BF3" w:rsidRDefault="00BC7BF3" w:rsidP="00BC7BF3">
            <w:pPr>
              <w:jc w:val="left"/>
              <w:rPr>
                <w:sz w:val="16"/>
                <w:szCs w:val="16"/>
                <w:lang w:val="en-US"/>
              </w:rPr>
            </w:pPr>
            <w:r w:rsidRPr="00BC7BF3">
              <w:rPr>
                <w:sz w:val="16"/>
                <w:szCs w:val="16"/>
                <w:lang w:val="en-US"/>
              </w:rPr>
              <w:t>Annex III, MDR: Technical documentation on PMS</w:t>
            </w:r>
          </w:p>
        </w:tc>
        <w:tc>
          <w:tcPr>
            <w:tcW w:w="2500" w:type="pct"/>
            <w:shd w:val="clear" w:color="auto" w:fill="DBE5F1" w:themeFill="accent1" w:themeFillTint="33"/>
            <w:vAlign w:val="center"/>
          </w:tcPr>
          <w:p w:rsidR="002F7995" w:rsidRPr="00D42BC5" w:rsidRDefault="002F7995" w:rsidP="002F7995">
            <w:pPr>
              <w:jc w:val="left"/>
              <w:rPr>
                <w:b/>
                <w:sz w:val="16"/>
                <w:szCs w:val="16"/>
              </w:rPr>
            </w:pPr>
            <w:r>
              <w:rPr>
                <w:b/>
                <w:sz w:val="16"/>
                <w:szCs w:val="16"/>
              </w:rPr>
              <w:t>Annex</w:t>
            </w:r>
            <w:r w:rsidRPr="00D42BC5">
              <w:rPr>
                <w:b/>
                <w:sz w:val="16"/>
                <w:szCs w:val="16"/>
              </w:rPr>
              <w:t xml:space="preserve"> IX:</w:t>
            </w:r>
          </w:p>
          <w:p w:rsidR="002F7995" w:rsidRPr="00BC7BF3" w:rsidRDefault="002F7995" w:rsidP="002F7995">
            <w:pPr>
              <w:pStyle w:val="Listenabsatz"/>
              <w:numPr>
                <w:ilvl w:val="0"/>
                <w:numId w:val="20"/>
              </w:numPr>
              <w:jc w:val="left"/>
              <w:rPr>
                <w:sz w:val="16"/>
                <w:szCs w:val="16"/>
                <w:lang w:val="en-US"/>
              </w:rPr>
            </w:pPr>
            <w:r w:rsidRPr="00BC7BF3">
              <w:rPr>
                <w:sz w:val="16"/>
                <w:szCs w:val="16"/>
                <w:lang w:val="en-US"/>
              </w:rPr>
              <w:t xml:space="preserve">Submission of the </w:t>
            </w:r>
            <w:r>
              <w:rPr>
                <w:sz w:val="16"/>
                <w:szCs w:val="16"/>
                <w:lang w:val="en-US"/>
              </w:rPr>
              <w:t>complete documentation</w:t>
            </w:r>
          </w:p>
          <w:p w:rsidR="002F7995" w:rsidRPr="00BC7BF3" w:rsidRDefault="002F7995" w:rsidP="002F7995">
            <w:pPr>
              <w:pStyle w:val="Listenabsatz"/>
              <w:numPr>
                <w:ilvl w:val="0"/>
                <w:numId w:val="20"/>
              </w:numPr>
              <w:jc w:val="left"/>
              <w:rPr>
                <w:sz w:val="16"/>
                <w:szCs w:val="16"/>
                <w:lang w:val="en-US"/>
              </w:rPr>
            </w:pPr>
            <w:r w:rsidRPr="00BC7BF3">
              <w:rPr>
                <w:sz w:val="16"/>
                <w:szCs w:val="16"/>
                <w:lang w:val="en-US"/>
              </w:rPr>
              <w:t>TD Review on sample basis</w:t>
            </w:r>
            <w:r>
              <w:rPr>
                <w:sz w:val="16"/>
                <w:szCs w:val="16"/>
                <w:lang w:val="en-US"/>
              </w:rPr>
              <w:t xml:space="preserve"> (</w:t>
            </w:r>
            <w:r w:rsidRPr="002F7995">
              <w:rPr>
                <w:sz w:val="16"/>
                <w:szCs w:val="16"/>
                <w:lang w:val="en-US"/>
              </w:rPr>
              <w:t>if necessary with special procedures</w:t>
            </w:r>
            <w:r>
              <w:rPr>
                <w:sz w:val="16"/>
                <w:szCs w:val="16"/>
                <w:lang w:val="en-US"/>
              </w:rPr>
              <w:t>)</w:t>
            </w:r>
          </w:p>
          <w:p w:rsidR="002F7995" w:rsidRPr="00BC7BF3" w:rsidRDefault="002F7995" w:rsidP="002F7995">
            <w:pPr>
              <w:pStyle w:val="Listenabsatz"/>
              <w:numPr>
                <w:ilvl w:val="0"/>
                <w:numId w:val="20"/>
              </w:numPr>
              <w:jc w:val="left"/>
              <w:rPr>
                <w:sz w:val="16"/>
                <w:szCs w:val="16"/>
              </w:rPr>
            </w:pPr>
            <w:r w:rsidRPr="00BC7BF3">
              <w:rPr>
                <w:sz w:val="16"/>
                <w:szCs w:val="16"/>
              </w:rPr>
              <w:t>Audit of the QMS</w:t>
            </w:r>
          </w:p>
          <w:p w:rsidR="002F7995" w:rsidRDefault="002F7995" w:rsidP="002F7995">
            <w:pPr>
              <w:pStyle w:val="Listenabsatz"/>
              <w:numPr>
                <w:ilvl w:val="0"/>
                <w:numId w:val="20"/>
              </w:numPr>
              <w:jc w:val="left"/>
              <w:rPr>
                <w:sz w:val="16"/>
                <w:szCs w:val="16"/>
              </w:rPr>
            </w:pPr>
            <w:r w:rsidRPr="00BC7BF3">
              <w:rPr>
                <w:sz w:val="16"/>
                <w:szCs w:val="16"/>
              </w:rPr>
              <w:t xml:space="preserve">Declaration of conformity, </w:t>
            </w:r>
          </w:p>
          <w:p w:rsidR="00B34866" w:rsidRPr="002F7995" w:rsidRDefault="002F7995" w:rsidP="002F7995">
            <w:pPr>
              <w:pStyle w:val="Listenabsatz"/>
              <w:numPr>
                <w:ilvl w:val="0"/>
                <w:numId w:val="20"/>
              </w:numPr>
              <w:jc w:val="left"/>
              <w:rPr>
                <w:sz w:val="16"/>
                <w:szCs w:val="16"/>
                <w:lang w:val="en-US"/>
              </w:rPr>
            </w:pPr>
            <w:r w:rsidRPr="00BC7BF3">
              <w:rPr>
                <w:sz w:val="16"/>
                <w:szCs w:val="16"/>
                <w:lang w:val="en-US"/>
              </w:rPr>
              <w:t>CE marking of the products with number of a Notified Body</w:t>
            </w:r>
            <w:r w:rsidRPr="00BC7BF3">
              <w:rPr>
                <w:b/>
                <w:sz w:val="16"/>
                <w:szCs w:val="16"/>
                <w:lang w:val="en-US"/>
              </w:rPr>
              <w:t xml:space="preserve"> </w:t>
            </w:r>
          </w:p>
        </w:tc>
      </w:tr>
      <w:tr w:rsidR="00B34866" w:rsidRPr="00632DEB" w:rsidTr="00B45598">
        <w:tc>
          <w:tcPr>
            <w:tcW w:w="1092" w:type="pct"/>
            <w:shd w:val="clear" w:color="auto" w:fill="F2F2F2" w:themeFill="background1" w:themeFillShade="F2"/>
            <w:vAlign w:val="center"/>
          </w:tcPr>
          <w:p w:rsidR="00B34866" w:rsidRPr="00C358C1" w:rsidRDefault="002F7995" w:rsidP="002F7995">
            <w:pPr>
              <w:jc w:val="left"/>
              <w:rPr>
                <w:b/>
                <w:sz w:val="16"/>
                <w:szCs w:val="16"/>
              </w:rPr>
            </w:pPr>
            <w:r>
              <w:rPr>
                <w:b/>
                <w:sz w:val="16"/>
                <w:szCs w:val="16"/>
              </w:rPr>
              <w:t>IIb implantable a</w:t>
            </w:r>
            <w:r w:rsidR="00B34866" w:rsidRPr="00C358C1">
              <w:rPr>
                <w:b/>
                <w:sz w:val="16"/>
                <w:szCs w:val="16"/>
              </w:rPr>
              <w:t>nd III</w:t>
            </w:r>
          </w:p>
        </w:tc>
        <w:tc>
          <w:tcPr>
            <w:tcW w:w="1408" w:type="pct"/>
            <w:shd w:val="clear" w:color="auto" w:fill="F2F2F2" w:themeFill="background1" w:themeFillShade="F2"/>
            <w:vAlign w:val="center"/>
          </w:tcPr>
          <w:p w:rsidR="00BC7BF3" w:rsidRPr="00BC7BF3" w:rsidRDefault="00BC7BF3" w:rsidP="00BC7BF3">
            <w:pPr>
              <w:jc w:val="left"/>
              <w:rPr>
                <w:sz w:val="16"/>
                <w:szCs w:val="16"/>
                <w:lang w:val="en-US"/>
              </w:rPr>
            </w:pPr>
            <w:r w:rsidRPr="00BC7BF3">
              <w:rPr>
                <w:sz w:val="16"/>
                <w:szCs w:val="16"/>
                <w:lang w:val="en-US"/>
              </w:rPr>
              <w:t>Annex I, MDR Essential safety and performance requirements</w:t>
            </w:r>
          </w:p>
          <w:p w:rsidR="00BC7BF3" w:rsidRPr="00DB3373" w:rsidRDefault="00BC7BF3" w:rsidP="00BC7BF3">
            <w:pPr>
              <w:jc w:val="left"/>
              <w:rPr>
                <w:sz w:val="16"/>
                <w:szCs w:val="16"/>
                <w:lang w:val="en-US"/>
              </w:rPr>
            </w:pPr>
            <w:r w:rsidRPr="00DB3373">
              <w:rPr>
                <w:sz w:val="16"/>
                <w:szCs w:val="16"/>
                <w:lang w:val="en-US"/>
              </w:rPr>
              <w:t>Annex II, MDR Technical Documentation</w:t>
            </w:r>
          </w:p>
          <w:p w:rsidR="00B34866" w:rsidRPr="00BC7BF3" w:rsidRDefault="00BC7BF3" w:rsidP="00BC7BF3">
            <w:pPr>
              <w:jc w:val="left"/>
              <w:rPr>
                <w:sz w:val="16"/>
                <w:szCs w:val="16"/>
                <w:lang w:val="en-US"/>
              </w:rPr>
            </w:pPr>
            <w:r w:rsidRPr="00BC7BF3">
              <w:rPr>
                <w:sz w:val="16"/>
                <w:szCs w:val="16"/>
                <w:lang w:val="en-US"/>
              </w:rPr>
              <w:t>Annex III, MDR: Technical documentation on PMS</w:t>
            </w:r>
          </w:p>
        </w:tc>
        <w:tc>
          <w:tcPr>
            <w:tcW w:w="2500" w:type="pct"/>
            <w:shd w:val="clear" w:color="auto" w:fill="F2F2F2" w:themeFill="background1" w:themeFillShade="F2"/>
            <w:vAlign w:val="center"/>
          </w:tcPr>
          <w:p w:rsidR="002F7995" w:rsidRPr="00D42BC5" w:rsidRDefault="002F7995" w:rsidP="002F7995">
            <w:pPr>
              <w:jc w:val="left"/>
              <w:rPr>
                <w:b/>
                <w:sz w:val="16"/>
                <w:szCs w:val="16"/>
              </w:rPr>
            </w:pPr>
            <w:r>
              <w:rPr>
                <w:b/>
                <w:sz w:val="16"/>
                <w:szCs w:val="16"/>
              </w:rPr>
              <w:t>Annex</w:t>
            </w:r>
            <w:r w:rsidRPr="00D42BC5">
              <w:rPr>
                <w:b/>
                <w:sz w:val="16"/>
                <w:szCs w:val="16"/>
              </w:rPr>
              <w:t xml:space="preserve"> IX:</w:t>
            </w:r>
          </w:p>
          <w:p w:rsidR="002F7995" w:rsidRPr="00BC7BF3" w:rsidRDefault="002F7995" w:rsidP="002F7995">
            <w:pPr>
              <w:pStyle w:val="Listenabsatz"/>
              <w:numPr>
                <w:ilvl w:val="0"/>
                <w:numId w:val="20"/>
              </w:numPr>
              <w:jc w:val="left"/>
              <w:rPr>
                <w:sz w:val="16"/>
                <w:szCs w:val="16"/>
                <w:lang w:val="en-US"/>
              </w:rPr>
            </w:pPr>
            <w:r w:rsidRPr="00BC7BF3">
              <w:rPr>
                <w:sz w:val="16"/>
                <w:szCs w:val="16"/>
                <w:lang w:val="en-US"/>
              </w:rPr>
              <w:t xml:space="preserve">Submission of the </w:t>
            </w:r>
            <w:r>
              <w:rPr>
                <w:sz w:val="16"/>
                <w:szCs w:val="16"/>
                <w:lang w:val="en-US"/>
              </w:rPr>
              <w:t>complete documentation</w:t>
            </w:r>
          </w:p>
          <w:p w:rsidR="002F7995" w:rsidRPr="00BC7BF3" w:rsidRDefault="002F7995" w:rsidP="002F7995">
            <w:pPr>
              <w:pStyle w:val="Listenabsatz"/>
              <w:numPr>
                <w:ilvl w:val="0"/>
                <w:numId w:val="20"/>
              </w:numPr>
              <w:jc w:val="left"/>
              <w:rPr>
                <w:sz w:val="16"/>
                <w:szCs w:val="16"/>
                <w:lang w:val="en-US"/>
              </w:rPr>
            </w:pPr>
            <w:r w:rsidRPr="00BC7BF3">
              <w:rPr>
                <w:sz w:val="16"/>
                <w:szCs w:val="16"/>
                <w:lang w:val="en-US"/>
              </w:rPr>
              <w:t>TD Review on sample basis</w:t>
            </w:r>
            <w:r>
              <w:rPr>
                <w:sz w:val="16"/>
                <w:szCs w:val="16"/>
                <w:lang w:val="en-US"/>
              </w:rPr>
              <w:t xml:space="preserve"> (</w:t>
            </w:r>
            <w:r w:rsidRPr="002F7995">
              <w:rPr>
                <w:sz w:val="16"/>
                <w:szCs w:val="16"/>
                <w:lang w:val="en-US"/>
              </w:rPr>
              <w:t>if necessary with special procedures</w:t>
            </w:r>
            <w:r>
              <w:rPr>
                <w:sz w:val="16"/>
                <w:szCs w:val="16"/>
                <w:lang w:val="en-US"/>
              </w:rPr>
              <w:t>)</w:t>
            </w:r>
          </w:p>
          <w:p w:rsidR="002F7995" w:rsidRPr="00BC7BF3" w:rsidRDefault="002F7995" w:rsidP="002F7995">
            <w:pPr>
              <w:pStyle w:val="Listenabsatz"/>
              <w:numPr>
                <w:ilvl w:val="0"/>
                <w:numId w:val="20"/>
              </w:numPr>
              <w:jc w:val="left"/>
              <w:rPr>
                <w:sz w:val="16"/>
                <w:szCs w:val="16"/>
              </w:rPr>
            </w:pPr>
            <w:r w:rsidRPr="00BC7BF3">
              <w:rPr>
                <w:sz w:val="16"/>
                <w:szCs w:val="16"/>
              </w:rPr>
              <w:t>Audit of the QMS</w:t>
            </w:r>
          </w:p>
          <w:p w:rsidR="002F7995" w:rsidRDefault="002F7995" w:rsidP="002F7995">
            <w:pPr>
              <w:pStyle w:val="Listenabsatz"/>
              <w:numPr>
                <w:ilvl w:val="0"/>
                <w:numId w:val="20"/>
              </w:numPr>
              <w:jc w:val="left"/>
              <w:rPr>
                <w:sz w:val="16"/>
                <w:szCs w:val="16"/>
              </w:rPr>
            </w:pPr>
            <w:r w:rsidRPr="00BC7BF3">
              <w:rPr>
                <w:sz w:val="16"/>
                <w:szCs w:val="16"/>
              </w:rPr>
              <w:t xml:space="preserve">Declaration of conformity, </w:t>
            </w:r>
          </w:p>
          <w:p w:rsidR="00B34866" w:rsidRPr="002F7995" w:rsidRDefault="002F7995" w:rsidP="002F7995">
            <w:pPr>
              <w:pStyle w:val="Listenabsatz"/>
              <w:numPr>
                <w:ilvl w:val="0"/>
                <w:numId w:val="20"/>
              </w:numPr>
              <w:jc w:val="left"/>
              <w:rPr>
                <w:sz w:val="16"/>
                <w:szCs w:val="16"/>
                <w:lang w:val="en-US"/>
              </w:rPr>
            </w:pPr>
            <w:r w:rsidRPr="00BC7BF3">
              <w:rPr>
                <w:sz w:val="16"/>
                <w:szCs w:val="16"/>
                <w:lang w:val="en-US"/>
              </w:rPr>
              <w:t>CE marking of the products with number of a Notified Body</w:t>
            </w:r>
          </w:p>
        </w:tc>
      </w:tr>
    </w:tbl>
    <w:p w:rsidR="00084F74" w:rsidRPr="002F7995" w:rsidRDefault="00084F74">
      <w:pPr>
        <w:jc w:val="left"/>
        <w:rPr>
          <w:b/>
          <w:bCs/>
          <w:lang w:val="en-US"/>
        </w:rPr>
      </w:pPr>
      <w:r w:rsidRPr="002F7995">
        <w:rPr>
          <w:b/>
          <w:bCs/>
          <w:lang w:val="en-US"/>
        </w:rPr>
        <w:br w:type="page"/>
      </w:r>
    </w:p>
    <w:p w:rsidR="00250317" w:rsidRPr="00DB3373" w:rsidRDefault="00DB3373" w:rsidP="00632DEB">
      <w:pPr>
        <w:pStyle w:val="berschrift1"/>
        <w:numPr>
          <w:ilvl w:val="0"/>
          <w:numId w:val="49"/>
        </w:numPr>
        <w:rPr>
          <w:lang w:val="en-US"/>
        </w:rPr>
      </w:pPr>
      <w:bookmarkStart w:id="1" w:name="_Toc47933888"/>
      <w:r>
        <w:rPr>
          <w:lang w:val="en-US"/>
        </w:rPr>
        <w:lastRenderedPageBreak/>
        <w:t>T</w:t>
      </w:r>
      <w:r w:rsidRPr="00DB3373">
        <w:rPr>
          <w:lang w:val="en-US"/>
        </w:rPr>
        <w:t>he new explicitness - regulatory background for the submission of technical documentation</w:t>
      </w:r>
      <w:bookmarkEnd w:id="1"/>
    </w:p>
    <w:p w:rsidR="00BC66AB" w:rsidRPr="00DB3373" w:rsidRDefault="00BC66AB" w:rsidP="00CB624E">
      <w:pPr>
        <w:rPr>
          <w:lang w:val="en-US"/>
        </w:rPr>
      </w:pPr>
    </w:p>
    <w:p w:rsidR="006F63AD" w:rsidRPr="006F63AD" w:rsidRDefault="006F63AD" w:rsidP="006F63AD">
      <w:pPr>
        <w:rPr>
          <w:lang w:val="en-US"/>
        </w:rPr>
      </w:pPr>
      <w:r w:rsidRPr="006F63AD">
        <w:rPr>
          <w:lang w:val="en-US"/>
        </w:rPr>
        <w:t xml:space="preserve">In contrast to the MDD and AIMDD of days gone by, </w:t>
      </w:r>
      <w:r>
        <w:rPr>
          <w:lang w:val="en-US"/>
        </w:rPr>
        <w:t xml:space="preserve">the </w:t>
      </w:r>
      <w:r w:rsidRPr="006F63AD">
        <w:rPr>
          <w:lang w:val="en-US"/>
        </w:rPr>
        <w:t>MDR is not only more extensive, but also often goes into great detail. Due to its character as a regulation, these details are always to be understood and implemented as direct legal requirements. Below we have endeavored to derive the requirements resulting from the MDR from a regulatory perspective and - where appropriate - to explain them:</w:t>
      </w:r>
    </w:p>
    <w:p w:rsidR="006F63AD" w:rsidRPr="006F63AD" w:rsidRDefault="006F63AD" w:rsidP="006F63AD">
      <w:pPr>
        <w:rPr>
          <w:lang w:val="en-US"/>
        </w:rPr>
      </w:pPr>
    </w:p>
    <w:p w:rsidR="006F63AD" w:rsidRPr="006F63AD" w:rsidRDefault="006F63AD" w:rsidP="006F63AD">
      <w:pPr>
        <w:rPr>
          <w:lang w:val="en-US"/>
        </w:rPr>
      </w:pPr>
      <w:r w:rsidRPr="006F63AD">
        <w:rPr>
          <w:lang w:val="en-US"/>
        </w:rPr>
        <w:t xml:space="preserve">With regard to technical documentation, reference is often made to </w:t>
      </w:r>
      <w:r w:rsidRPr="006F63AD">
        <w:rPr>
          <w:b/>
          <w:lang w:val="en-US"/>
        </w:rPr>
        <w:t>Article 10, point 4 of the MDR</w:t>
      </w:r>
      <w:r w:rsidRPr="006F63AD">
        <w:rPr>
          <w:lang w:val="en-US"/>
        </w:rPr>
        <w:t xml:space="preserve"> (General obligations of manufacturers). However, this point does not cover the complete documentation requirements; for this </w:t>
      </w:r>
      <w:r w:rsidR="00AF3722" w:rsidRPr="006F63AD">
        <w:rPr>
          <w:lang w:val="en-US"/>
        </w:rPr>
        <w:t>purpose,</w:t>
      </w:r>
      <w:r w:rsidRPr="006F63AD">
        <w:rPr>
          <w:lang w:val="en-US"/>
        </w:rPr>
        <w:t xml:space="preserve"> the adjacent points of </w:t>
      </w:r>
      <w:r w:rsidRPr="00AF3722">
        <w:rPr>
          <w:b/>
          <w:lang w:val="en-US"/>
        </w:rPr>
        <w:t>Article 10 of the MDR</w:t>
      </w:r>
      <w:r w:rsidR="00AF3722">
        <w:rPr>
          <w:lang w:val="en-US"/>
        </w:rPr>
        <w:t xml:space="preserve"> must also be considered</w:t>
      </w:r>
      <w:r w:rsidRPr="006F63AD">
        <w:rPr>
          <w:lang w:val="en-US"/>
        </w:rPr>
        <w:t>:</w:t>
      </w:r>
    </w:p>
    <w:p w:rsidR="006F63AD" w:rsidRPr="006F63AD" w:rsidRDefault="006F63AD" w:rsidP="006F63AD">
      <w:pPr>
        <w:rPr>
          <w:lang w:val="en-US"/>
        </w:rPr>
      </w:pPr>
    </w:p>
    <w:p w:rsidR="006E61A6" w:rsidRPr="00AF3722" w:rsidRDefault="00AF3722" w:rsidP="00CB624E">
      <w:pPr>
        <w:rPr>
          <w:lang w:val="en-US"/>
        </w:rPr>
      </w:pPr>
      <w:r>
        <w:rPr>
          <w:lang w:val="en-US"/>
        </w:rPr>
        <w:t>[Quote MDR, Article</w:t>
      </w:r>
      <w:r w:rsidR="00FF16F5" w:rsidRPr="00AF3722">
        <w:rPr>
          <w:lang w:val="en-US"/>
        </w:rPr>
        <w:t xml:space="preserve"> 10, </w:t>
      </w:r>
      <w:r w:rsidR="00C770DF">
        <w:rPr>
          <w:lang w:val="en-US"/>
        </w:rPr>
        <w:t>clause</w:t>
      </w:r>
      <w:r w:rsidR="00FF16F5" w:rsidRPr="00AF3722">
        <w:rPr>
          <w:lang w:val="en-US"/>
        </w:rPr>
        <w:t xml:space="preserve"> 3]</w:t>
      </w:r>
      <w:r w:rsidR="00391D94" w:rsidRPr="00AF3722">
        <w:rPr>
          <w:lang w:val="en-US"/>
        </w:rPr>
        <w:t xml:space="preserve"> </w:t>
      </w:r>
      <w:r w:rsidRPr="00AF3722">
        <w:rPr>
          <w:lang w:val="en-US"/>
        </w:rPr>
        <w:t xml:space="preserve">Manufacturers shall conduct a clinical evaluation in accordance with the requirements set out in </w:t>
      </w:r>
      <w:r w:rsidRPr="00C770DF">
        <w:rPr>
          <w:b/>
          <w:lang w:val="en-US"/>
        </w:rPr>
        <w:t>Article 61 and Annex XIV</w:t>
      </w:r>
      <w:r w:rsidR="00C770DF" w:rsidRPr="00C770DF">
        <w:rPr>
          <w:b/>
          <w:lang w:val="en-US"/>
        </w:rPr>
        <w:t>, of the MDR</w:t>
      </w:r>
      <w:r w:rsidRPr="00AF3722">
        <w:rPr>
          <w:lang w:val="en-US"/>
        </w:rPr>
        <w:t>, including a PMCF.</w:t>
      </w:r>
      <w:r w:rsidRPr="00AF3722">
        <w:rPr>
          <w:i/>
          <w:lang w:val="en-US"/>
        </w:rPr>
        <w:t xml:space="preserve"> </w:t>
      </w:r>
      <w:r w:rsidR="00FF16F5" w:rsidRPr="00C770DF">
        <w:rPr>
          <w:lang w:val="en-US"/>
        </w:rPr>
        <w:t>[</w:t>
      </w:r>
      <w:r w:rsidR="00C770DF">
        <w:rPr>
          <w:lang w:val="en-US"/>
        </w:rPr>
        <w:t>Quote End</w:t>
      </w:r>
      <w:r w:rsidR="00FF16F5" w:rsidRPr="00AF3722">
        <w:rPr>
          <w:lang w:val="en-US"/>
        </w:rPr>
        <w:t>]</w:t>
      </w:r>
      <w:r w:rsidR="00B97288" w:rsidRPr="00AF3722">
        <w:rPr>
          <w:lang w:val="en-US"/>
        </w:rPr>
        <w:t>,</w:t>
      </w:r>
    </w:p>
    <w:p w:rsidR="006E61A6" w:rsidRPr="00AF3722" w:rsidRDefault="006E61A6" w:rsidP="00CB624E">
      <w:pPr>
        <w:rPr>
          <w:lang w:val="en-US"/>
        </w:rPr>
      </w:pPr>
    </w:p>
    <w:p w:rsidR="00B97288" w:rsidRPr="00C770DF" w:rsidRDefault="00C770DF" w:rsidP="00CB624E">
      <w:pPr>
        <w:rPr>
          <w:lang w:val="en-US"/>
        </w:rPr>
      </w:pPr>
      <w:r w:rsidRPr="00C770DF">
        <w:rPr>
          <w:lang w:val="en-US"/>
        </w:rPr>
        <w:t>as well as:</w:t>
      </w:r>
    </w:p>
    <w:p w:rsidR="00B97288" w:rsidRPr="00C770DF" w:rsidRDefault="00B97288" w:rsidP="00CB624E">
      <w:pPr>
        <w:rPr>
          <w:lang w:val="en-US"/>
        </w:rPr>
      </w:pPr>
    </w:p>
    <w:p w:rsidR="00BC62B5" w:rsidRPr="00081BAF" w:rsidRDefault="00081BAF" w:rsidP="00CB624E">
      <w:pPr>
        <w:rPr>
          <w:lang w:val="en-US"/>
        </w:rPr>
      </w:pPr>
      <w:r>
        <w:rPr>
          <w:lang w:val="en-US"/>
        </w:rPr>
        <w:t>[Quote</w:t>
      </w:r>
      <w:r w:rsidR="00BC62B5" w:rsidRPr="00C770DF">
        <w:rPr>
          <w:lang w:val="en-US"/>
        </w:rPr>
        <w:t xml:space="preserve"> MDR, </w:t>
      </w:r>
      <w:r>
        <w:rPr>
          <w:lang w:val="en-US"/>
        </w:rPr>
        <w:t>Article</w:t>
      </w:r>
      <w:r w:rsidR="00BC62B5" w:rsidRPr="00C770DF">
        <w:rPr>
          <w:lang w:val="en-US"/>
        </w:rPr>
        <w:t xml:space="preserve"> 10, </w:t>
      </w:r>
      <w:r>
        <w:rPr>
          <w:lang w:val="en-US"/>
        </w:rPr>
        <w:t>clause</w:t>
      </w:r>
      <w:r w:rsidR="00BC62B5" w:rsidRPr="00C770DF">
        <w:rPr>
          <w:lang w:val="en-US"/>
        </w:rPr>
        <w:t xml:space="preserve"> 6] </w:t>
      </w:r>
      <w:r w:rsidR="00C770DF" w:rsidRPr="00081BAF">
        <w:rPr>
          <w:i/>
          <w:lang w:val="en-US"/>
        </w:rPr>
        <w:t xml:space="preserve">Where compliance with the applicable requirements has been demonstrated following the applicable conformity assessment procedure, manufacturers of devices, other than custom-made or investigational devices, shall draw up an EU declaration of conformity in accordance with </w:t>
      </w:r>
      <w:r w:rsidR="00C770DF" w:rsidRPr="00081BAF">
        <w:rPr>
          <w:b/>
          <w:i/>
          <w:lang w:val="en-US"/>
        </w:rPr>
        <w:t>Article 19,</w:t>
      </w:r>
      <w:r w:rsidRPr="00081BAF">
        <w:rPr>
          <w:b/>
          <w:i/>
          <w:lang w:val="en-US"/>
        </w:rPr>
        <w:t xml:space="preserve"> MDR</w:t>
      </w:r>
      <w:r w:rsidR="00C770DF" w:rsidRPr="00081BAF">
        <w:rPr>
          <w:i/>
          <w:lang w:val="en-US"/>
        </w:rPr>
        <w:t xml:space="preserve"> and affix the CE marking of conformity in accordance with </w:t>
      </w:r>
      <w:r w:rsidR="00C770DF" w:rsidRPr="00081BAF">
        <w:rPr>
          <w:b/>
          <w:i/>
          <w:lang w:val="en-US"/>
        </w:rPr>
        <w:t>Article 20</w:t>
      </w:r>
      <w:r w:rsidRPr="00081BAF">
        <w:rPr>
          <w:b/>
          <w:i/>
          <w:lang w:val="en-US"/>
        </w:rPr>
        <w:t>, MDR</w:t>
      </w:r>
      <w:r w:rsidR="00C770DF" w:rsidRPr="00081BAF">
        <w:rPr>
          <w:i/>
          <w:lang w:val="en-US"/>
        </w:rPr>
        <w:t xml:space="preserve">. </w:t>
      </w:r>
      <w:r w:rsidR="00BC62B5" w:rsidRPr="00081BAF">
        <w:rPr>
          <w:lang w:val="en-US"/>
        </w:rPr>
        <w:t>[</w:t>
      </w:r>
      <w:r>
        <w:rPr>
          <w:lang w:val="en-US"/>
        </w:rPr>
        <w:t>Quote End</w:t>
      </w:r>
      <w:r w:rsidR="00BC62B5" w:rsidRPr="00081BAF">
        <w:rPr>
          <w:lang w:val="en-US"/>
        </w:rPr>
        <w:t>].</w:t>
      </w:r>
    </w:p>
    <w:p w:rsidR="00BC62B5" w:rsidRPr="00081BAF" w:rsidRDefault="00BC62B5" w:rsidP="00CB624E">
      <w:pPr>
        <w:rPr>
          <w:lang w:val="en-US"/>
        </w:rPr>
      </w:pPr>
    </w:p>
    <w:p w:rsidR="00081BAF" w:rsidRDefault="00081BAF" w:rsidP="00CB624E">
      <w:pPr>
        <w:rPr>
          <w:lang w:val="en-US"/>
        </w:rPr>
      </w:pPr>
      <w:r w:rsidRPr="00081BAF">
        <w:rPr>
          <w:lang w:val="en-US"/>
        </w:rPr>
        <w:t>For completeness</w:t>
      </w:r>
      <w:r w:rsidR="00DB3373">
        <w:rPr>
          <w:lang w:val="en-US"/>
        </w:rPr>
        <w:t xml:space="preserve"> sake, it is worth mentioning </w:t>
      </w:r>
      <w:r>
        <w:rPr>
          <w:b/>
          <w:lang w:val="en-US"/>
        </w:rPr>
        <w:t>clause 4 of Article 10,</w:t>
      </w:r>
      <w:r w:rsidRPr="00081BAF">
        <w:rPr>
          <w:b/>
          <w:lang w:val="en-US"/>
        </w:rPr>
        <w:t xml:space="preserve"> MDR</w:t>
      </w:r>
      <w:r w:rsidRPr="00081BAF">
        <w:rPr>
          <w:lang w:val="en-US"/>
        </w:rPr>
        <w:t>:</w:t>
      </w:r>
    </w:p>
    <w:p w:rsidR="00081BAF" w:rsidRPr="00081BAF" w:rsidRDefault="00081BAF" w:rsidP="00CB624E">
      <w:pPr>
        <w:rPr>
          <w:lang w:val="en-US"/>
        </w:rPr>
      </w:pPr>
    </w:p>
    <w:p w:rsidR="00304B1C" w:rsidRPr="00304B1C" w:rsidRDefault="00B97288" w:rsidP="00081BAF">
      <w:pPr>
        <w:rPr>
          <w:i/>
          <w:lang w:val="en-US"/>
        </w:rPr>
      </w:pPr>
      <w:r w:rsidRPr="00081BAF">
        <w:rPr>
          <w:lang w:val="en-US"/>
        </w:rPr>
        <w:t>[</w:t>
      </w:r>
      <w:r w:rsidR="00081BAF" w:rsidRPr="00081BAF">
        <w:rPr>
          <w:lang w:val="en-US"/>
        </w:rPr>
        <w:t>Quote</w:t>
      </w:r>
      <w:r w:rsidRPr="00081BAF">
        <w:rPr>
          <w:lang w:val="en-US"/>
        </w:rPr>
        <w:t xml:space="preserve"> MDR, </w:t>
      </w:r>
      <w:r w:rsidR="00081BAF" w:rsidRPr="00081BAF">
        <w:rPr>
          <w:lang w:val="en-US"/>
        </w:rPr>
        <w:t xml:space="preserve">Article </w:t>
      </w:r>
      <w:r w:rsidRPr="00081BAF">
        <w:rPr>
          <w:lang w:val="en-US"/>
        </w:rPr>
        <w:t xml:space="preserve">10, </w:t>
      </w:r>
      <w:r w:rsidR="00081BAF" w:rsidRPr="00081BAF">
        <w:rPr>
          <w:lang w:val="en-US"/>
        </w:rPr>
        <w:t>clause</w:t>
      </w:r>
      <w:r w:rsidRPr="00081BAF">
        <w:rPr>
          <w:lang w:val="en-US"/>
        </w:rPr>
        <w:t xml:space="preserve"> 4] </w:t>
      </w:r>
      <w:r w:rsidR="00081BAF" w:rsidRPr="00304B1C">
        <w:rPr>
          <w:i/>
          <w:lang w:val="en-US"/>
        </w:rPr>
        <w:t xml:space="preserve">Manufacturers of devices other than custom-made devices shall draw up and keep up to date technical documentation for those devices. The technical documentation shall be such as to allow the conformity of the device with the requirements of this Regulation to be assessed. The technical documentation shall include the elements set out in </w:t>
      </w:r>
      <w:r w:rsidR="00081BAF" w:rsidRPr="00304B1C">
        <w:rPr>
          <w:b/>
          <w:i/>
          <w:lang w:val="en-US"/>
        </w:rPr>
        <w:t>Annexes II and III</w:t>
      </w:r>
      <w:r w:rsidR="00304B1C" w:rsidRPr="00304B1C">
        <w:rPr>
          <w:b/>
          <w:i/>
          <w:lang w:val="en-US"/>
        </w:rPr>
        <w:t>, MDR</w:t>
      </w:r>
      <w:r w:rsidR="00081BAF" w:rsidRPr="00304B1C">
        <w:rPr>
          <w:i/>
          <w:lang w:val="en-US"/>
        </w:rPr>
        <w:t xml:space="preserve">. </w:t>
      </w:r>
    </w:p>
    <w:p w:rsidR="00304B1C" w:rsidRPr="00304B1C" w:rsidRDefault="00304B1C" w:rsidP="00081BAF">
      <w:pPr>
        <w:rPr>
          <w:i/>
          <w:lang w:val="en-US"/>
        </w:rPr>
      </w:pPr>
    </w:p>
    <w:p w:rsidR="00786383" w:rsidRPr="00304B1C" w:rsidRDefault="00081BAF" w:rsidP="00081BAF">
      <w:pPr>
        <w:rPr>
          <w:lang w:val="en-US"/>
        </w:rPr>
      </w:pPr>
      <w:r w:rsidRPr="00304B1C">
        <w:rPr>
          <w:i/>
          <w:lang w:val="en-US"/>
        </w:rPr>
        <w:t xml:space="preserve">The Commission is empowered to adopt delegated acts in accordance with </w:t>
      </w:r>
      <w:r w:rsidRPr="00304B1C">
        <w:rPr>
          <w:b/>
          <w:i/>
          <w:lang w:val="en-US"/>
        </w:rPr>
        <w:t>Article 115</w:t>
      </w:r>
      <w:r w:rsidR="00304B1C" w:rsidRPr="00304B1C">
        <w:rPr>
          <w:b/>
          <w:i/>
          <w:lang w:val="en-US"/>
        </w:rPr>
        <w:t>, MDR</w:t>
      </w:r>
      <w:r w:rsidRPr="00304B1C">
        <w:rPr>
          <w:i/>
          <w:lang w:val="en-US"/>
        </w:rPr>
        <w:t xml:space="preserve"> amending, in the light of technical progress, the Annexes II and III.</w:t>
      </w:r>
      <w:r w:rsidRPr="00081BAF">
        <w:rPr>
          <w:lang w:val="en-US"/>
        </w:rPr>
        <w:t xml:space="preserve"> </w:t>
      </w:r>
      <w:r w:rsidR="004E3EC9" w:rsidRPr="00304B1C">
        <w:rPr>
          <w:lang w:val="en-US"/>
        </w:rPr>
        <w:t>[</w:t>
      </w:r>
      <w:r w:rsidR="00304B1C">
        <w:rPr>
          <w:lang w:val="en-US"/>
        </w:rPr>
        <w:t>Quote End</w:t>
      </w:r>
      <w:r w:rsidR="004E3EC9" w:rsidRPr="00304B1C">
        <w:rPr>
          <w:lang w:val="en-US"/>
        </w:rPr>
        <w:t>]</w:t>
      </w:r>
      <w:r w:rsidR="00391D94" w:rsidRPr="00304B1C">
        <w:rPr>
          <w:lang w:val="en-US"/>
        </w:rPr>
        <w:t xml:space="preserve"> </w:t>
      </w:r>
    </w:p>
    <w:p w:rsidR="00C17672" w:rsidRPr="00304B1C" w:rsidRDefault="00C17672" w:rsidP="00CB624E">
      <w:pPr>
        <w:rPr>
          <w:lang w:val="en-US"/>
        </w:rPr>
      </w:pPr>
    </w:p>
    <w:p w:rsidR="00D349D2" w:rsidRDefault="00304B1C" w:rsidP="00CB624E">
      <w:pPr>
        <w:rPr>
          <w:lang w:val="en-US"/>
        </w:rPr>
      </w:pPr>
      <w:r w:rsidRPr="00304B1C">
        <w:rPr>
          <w:lang w:val="en-US"/>
        </w:rPr>
        <w:t>Furthermore, there are separate regulations for different risk classes:</w:t>
      </w:r>
    </w:p>
    <w:p w:rsidR="00304B1C" w:rsidRPr="00304B1C" w:rsidRDefault="00304B1C" w:rsidP="00CB624E">
      <w:pPr>
        <w:rPr>
          <w:lang w:val="en-US"/>
        </w:rPr>
      </w:pPr>
    </w:p>
    <w:p w:rsidR="00D24FA8" w:rsidRDefault="00304B1C" w:rsidP="00CB624E">
      <w:pPr>
        <w:rPr>
          <w:i/>
          <w:lang w:val="en-US"/>
        </w:rPr>
      </w:pPr>
      <w:r w:rsidRPr="00304B1C">
        <w:rPr>
          <w:lang w:val="en-US"/>
        </w:rPr>
        <w:t>[Quote  MDR, Article</w:t>
      </w:r>
      <w:r w:rsidR="00D349D2" w:rsidRPr="00304B1C">
        <w:rPr>
          <w:lang w:val="en-US"/>
        </w:rPr>
        <w:t xml:space="preserve"> 32 </w:t>
      </w:r>
      <w:r w:rsidRPr="00304B1C">
        <w:rPr>
          <w:lang w:val="en-US"/>
        </w:rPr>
        <w:t>Summary of safety and clinical performance</w:t>
      </w:r>
      <w:r w:rsidR="00D349D2" w:rsidRPr="00304B1C">
        <w:rPr>
          <w:lang w:val="en-US"/>
        </w:rPr>
        <w:t xml:space="preserve">] </w:t>
      </w:r>
      <w:r w:rsidRPr="00D24FA8">
        <w:rPr>
          <w:i/>
          <w:lang w:val="en-US"/>
        </w:rPr>
        <w:t xml:space="preserve">For implantable devices and for class III devices, other than custom-made or investigational devices, the manufacturer shall draw up a summary of safety and clinical performance. The summary of safety and clinical performance shall be written in a way that is clear to the intended user and, if relevant, to the patient and shall be made available to the public via Eudamed. </w:t>
      </w:r>
    </w:p>
    <w:p w:rsidR="00786383" w:rsidRPr="00D24FA8" w:rsidRDefault="00304B1C" w:rsidP="00CB624E">
      <w:pPr>
        <w:rPr>
          <w:lang w:val="en-US"/>
        </w:rPr>
      </w:pPr>
      <w:r w:rsidRPr="00D24FA8">
        <w:rPr>
          <w:i/>
          <w:lang w:val="en-US"/>
        </w:rPr>
        <w:t xml:space="preserve">The draft of the summary of safety and clinical performance shall be part of the documentation to be submitted to the notified body involved in the conformity assessment pursuant to </w:t>
      </w:r>
      <w:r w:rsidRPr="00D24FA8">
        <w:rPr>
          <w:b/>
          <w:i/>
          <w:lang w:val="en-US"/>
        </w:rPr>
        <w:t>Article 52</w:t>
      </w:r>
      <w:r w:rsidR="00D24FA8" w:rsidRPr="00D24FA8">
        <w:rPr>
          <w:b/>
          <w:i/>
          <w:lang w:val="en-US"/>
        </w:rPr>
        <w:t>, MDR</w:t>
      </w:r>
      <w:r w:rsidRPr="00D24FA8">
        <w:rPr>
          <w:i/>
          <w:lang w:val="en-US"/>
        </w:rPr>
        <w:t xml:space="preserve"> and shall be validated by that body. After its validation, the notified body shall upload the summary to Eudamed. The manufacturer shall mention on the label or instructions for use where the summary is available. </w:t>
      </w:r>
      <w:r w:rsidR="00D349D2" w:rsidRPr="00D24FA8">
        <w:rPr>
          <w:lang w:val="en-US"/>
        </w:rPr>
        <w:t>[</w:t>
      </w:r>
      <w:r w:rsidR="00D24FA8" w:rsidRPr="00D24FA8">
        <w:rPr>
          <w:lang w:val="en-US"/>
        </w:rPr>
        <w:t>Quote End</w:t>
      </w:r>
      <w:r w:rsidR="00D349D2" w:rsidRPr="00D24FA8">
        <w:rPr>
          <w:lang w:val="en-US"/>
        </w:rPr>
        <w:t>]</w:t>
      </w:r>
    </w:p>
    <w:p w:rsidR="00150E37" w:rsidRPr="00D24FA8" w:rsidRDefault="00150E37" w:rsidP="00CB624E">
      <w:pPr>
        <w:rPr>
          <w:lang w:val="en-US"/>
        </w:rPr>
      </w:pPr>
    </w:p>
    <w:p w:rsidR="00D24FA8" w:rsidRPr="00D24FA8" w:rsidRDefault="00D24FA8" w:rsidP="00D24FA8">
      <w:pPr>
        <w:rPr>
          <w:lang w:val="en-US"/>
        </w:rPr>
      </w:pPr>
      <w:r w:rsidRPr="00D24FA8">
        <w:rPr>
          <w:lang w:val="en-US"/>
        </w:rPr>
        <w:t>Even if the basic idea - the proof of conformity by means of a comprehensive product file - has not changed significantly, the new regulation gives a completely new meaning to old familiar aspects.</w:t>
      </w:r>
    </w:p>
    <w:p w:rsidR="00D24FA8" w:rsidRPr="00D24FA8" w:rsidRDefault="00D24FA8" w:rsidP="00D24FA8">
      <w:pPr>
        <w:rPr>
          <w:lang w:val="en-US"/>
        </w:rPr>
      </w:pPr>
      <w:r w:rsidRPr="00D24FA8">
        <w:rPr>
          <w:lang w:val="en-US"/>
        </w:rPr>
        <w:t>This becomes particularly clear for the aspect of post-market surveillance. Here the MDR</w:t>
      </w:r>
      <w:r w:rsidR="00381B25">
        <w:rPr>
          <w:lang w:val="en-US"/>
        </w:rPr>
        <w:t xml:space="preserve"> in its Annex III</w:t>
      </w:r>
      <w:r w:rsidRPr="00D24FA8">
        <w:rPr>
          <w:lang w:val="en-US"/>
        </w:rPr>
        <w:t xml:space="preserve"> even requires a technical documentati</w:t>
      </w:r>
      <w:r w:rsidR="00381B25">
        <w:rPr>
          <w:lang w:val="en-US"/>
        </w:rPr>
        <w:t>on on post-market surveillance to be prepared by the manufacturer.</w:t>
      </w:r>
    </w:p>
    <w:p w:rsidR="00D24FA8" w:rsidRPr="00D24FA8" w:rsidRDefault="00D24FA8" w:rsidP="00D24FA8">
      <w:pPr>
        <w:rPr>
          <w:lang w:val="en-US"/>
        </w:rPr>
      </w:pPr>
      <w:r w:rsidRPr="00D24FA8">
        <w:rPr>
          <w:lang w:val="en-US"/>
        </w:rPr>
        <w:t xml:space="preserve">The regulation also </w:t>
      </w:r>
      <w:r w:rsidR="00381B25">
        <w:rPr>
          <w:lang w:val="en-US"/>
        </w:rPr>
        <w:t>lays down far reaching requirements</w:t>
      </w:r>
      <w:r w:rsidR="00560AE7">
        <w:rPr>
          <w:lang w:val="en-US"/>
        </w:rPr>
        <w:t xml:space="preserve"> on the scope for</w:t>
      </w:r>
      <w:r w:rsidRPr="00D24FA8">
        <w:rPr>
          <w:lang w:val="en-US"/>
        </w:rPr>
        <w:t xml:space="preserve"> </w:t>
      </w:r>
      <w:r w:rsidR="00381B25">
        <w:rPr>
          <w:lang w:val="en-US"/>
        </w:rPr>
        <w:t>providing evidence</w:t>
      </w:r>
      <w:r w:rsidRPr="00D24FA8">
        <w:rPr>
          <w:lang w:val="en-US"/>
        </w:rPr>
        <w:t>:</w:t>
      </w:r>
    </w:p>
    <w:p w:rsidR="00D24FA8" w:rsidRPr="00D24FA8" w:rsidRDefault="00D24FA8" w:rsidP="00D24FA8">
      <w:pPr>
        <w:rPr>
          <w:lang w:val="en-US"/>
        </w:rPr>
      </w:pPr>
      <w:r w:rsidRPr="00D24FA8">
        <w:rPr>
          <w:lang w:val="en-US"/>
        </w:rPr>
        <w:t>Often a report, including the correspon</w:t>
      </w:r>
      <w:r w:rsidR="00560AE7">
        <w:rPr>
          <w:lang w:val="en-US"/>
        </w:rPr>
        <w:t>ding plan, is required -</w:t>
      </w:r>
      <w:r w:rsidR="008D73FE">
        <w:rPr>
          <w:lang w:val="en-US"/>
        </w:rPr>
        <w:t xml:space="preserve"> </w:t>
      </w:r>
      <w:r w:rsidRPr="00D24FA8">
        <w:rPr>
          <w:lang w:val="en-US"/>
        </w:rPr>
        <w:t xml:space="preserve">always with the expectation that the technical documentation is formulated in such a comprehensible way that third parties can understand not only the results, but also the methodology and the </w:t>
      </w:r>
      <w:r w:rsidR="008D73FE">
        <w:rPr>
          <w:lang w:val="en-US"/>
        </w:rPr>
        <w:t>demonstration of evidence</w:t>
      </w:r>
      <w:r w:rsidRPr="00D24FA8">
        <w:rPr>
          <w:lang w:val="en-US"/>
        </w:rPr>
        <w:t xml:space="preserve">. A simple attachment of test protocols without additional explanations and critical discussion is now </w:t>
      </w:r>
      <w:r w:rsidR="00560AE7" w:rsidRPr="00560AE7">
        <w:rPr>
          <w:lang w:val="en-US"/>
        </w:rPr>
        <w:t>passé</w:t>
      </w:r>
      <w:r w:rsidRPr="00D24FA8">
        <w:rPr>
          <w:lang w:val="en-US"/>
        </w:rPr>
        <w:t>.</w:t>
      </w:r>
    </w:p>
    <w:p w:rsidR="00D24FA8" w:rsidRPr="00D24FA8" w:rsidRDefault="00D24FA8" w:rsidP="00D24FA8">
      <w:pPr>
        <w:rPr>
          <w:lang w:val="en-US"/>
        </w:rPr>
      </w:pPr>
    </w:p>
    <w:p w:rsidR="00150E37" w:rsidRPr="008D73FE" w:rsidRDefault="008D73FE" w:rsidP="00CB624E">
      <w:pPr>
        <w:rPr>
          <w:lang w:val="en-US"/>
        </w:rPr>
      </w:pPr>
      <w:r w:rsidRPr="008D73FE">
        <w:rPr>
          <w:lang w:val="en-US"/>
        </w:rPr>
        <w:t>Manufacturers, but also Notified Bodies, are expected to</w:t>
      </w:r>
      <w:r>
        <w:rPr>
          <w:lang w:val="en-US"/>
        </w:rPr>
        <w:t xml:space="preserve"> present their results and drafting their reports on a certain technical and scientific level.</w:t>
      </w:r>
    </w:p>
    <w:p w:rsidR="00BB452C" w:rsidRPr="00BB452C" w:rsidRDefault="00BB452C" w:rsidP="00BB452C">
      <w:pPr>
        <w:rPr>
          <w:lang w:val="en-US"/>
        </w:rPr>
      </w:pPr>
      <w:r w:rsidRPr="00BB452C">
        <w:rPr>
          <w:lang w:val="en-US"/>
        </w:rPr>
        <w:t xml:space="preserve">It should also be </w:t>
      </w:r>
      <w:r>
        <w:rPr>
          <w:lang w:val="en-US"/>
        </w:rPr>
        <w:t>kept in mind,</w:t>
      </w:r>
      <w:r w:rsidRPr="00BB452C">
        <w:rPr>
          <w:lang w:val="en-US"/>
        </w:rPr>
        <w:t xml:space="preserve"> that all relevant documentation must be submitted </w:t>
      </w:r>
      <w:r>
        <w:rPr>
          <w:lang w:val="en-US"/>
        </w:rPr>
        <w:t xml:space="preserve">together with the application. </w:t>
      </w:r>
      <w:r w:rsidRPr="00BB452C">
        <w:rPr>
          <w:lang w:val="en-US"/>
        </w:rPr>
        <w:t>For the differences in the individual conformity assessment procedures and classifications, please also note the box "</w:t>
      </w:r>
      <w:r w:rsidRPr="00BB452C">
        <w:rPr>
          <w:i/>
          <w:lang w:val="en-US"/>
        </w:rPr>
        <w:t>Available conformity assessment procedures carried out by the DQS Medizinprodukte GmbH</w:t>
      </w:r>
      <w:r w:rsidRPr="00BB452C">
        <w:rPr>
          <w:lang w:val="en-US"/>
        </w:rPr>
        <w:t>" at the beginning of the document.</w:t>
      </w:r>
    </w:p>
    <w:p w:rsidR="002A1ED2" w:rsidRDefault="00BB452C" w:rsidP="00BB452C">
      <w:pPr>
        <w:rPr>
          <w:lang w:val="en-US"/>
        </w:rPr>
      </w:pPr>
      <w:r w:rsidRPr="00BB452C">
        <w:rPr>
          <w:lang w:val="en-US"/>
        </w:rPr>
        <w:t>Due to the designation of DQS Medizinprodukte GmbH, these are</w:t>
      </w:r>
      <w:r>
        <w:rPr>
          <w:lang w:val="en-US"/>
        </w:rPr>
        <w:t xml:space="preserve"> in fact</w:t>
      </w:r>
      <w:r w:rsidRPr="00BB452C">
        <w:rPr>
          <w:lang w:val="en-US"/>
        </w:rPr>
        <w:t xml:space="preserve"> the conformity assessment procedures described in </w:t>
      </w:r>
      <w:r w:rsidRPr="00BB452C">
        <w:rPr>
          <w:b/>
          <w:lang w:val="en-US"/>
        </w:rPr>
        <w:t>Annex IX and Annex XI, Part A of the MDR</w:t>
      </w:r>
      <w:r w:rsidRPr="00BB452C">
        <w:rPr>
          <w:lang w:val="en-US"/>
        </w:rPr>
        <w:t>.</w:t>
      </w:r>
    </w:p>
    <w:p w:rsidR="00BB452C" w:rsidRPr="00BB452C" w:rsidRDefault="00BB452C" w:rsidP="00BB452C">
      <w:pPr>
        <w:rPr>
          <w:lang w:val="en-US"/>
        </w:rPr>
      </w:pPr>
    </w:p>
    <w:p w:rsidR="00BB452C" w:rsidRPr="00BB452C" w:rsidRDefault="00BB452C" w:rsidP="00BB452C">
      <w:pPr>
        <w:rPr>
          <w:lang w:val="en-US"/>
        </w:rPr>
      </w:pPr>
      <w:r w:rsidRPr="00BB452C">
        <w:rPr>
          <w:lang w:val="en-US"/>
        </w:rPr>
        <w:t xml:space="preserve">The requirement itself arises from </w:t>
      </w:r>
      <w:r w:rsidRPr="00706834">
        <w:rPr>
          <w:b/>
          <w:lang w:val="en-US"/>
        </w:rPr>
        <w:t>Annex IX, Chapter I, Section 2.2</w:t>
      </w:r>
      <w:r>
        <w:rPr>
          <w:lang w:val="en-US"/>
        </w:rPr>
        <w:t xml:space="preserve"> as well as</w:t>
      </w:r>
      <w:r w:rsidRPr="00BB452C">
        <w:rPr>
          <w:lang w:val="en-US"/>
        </w:rPr>
        <w:t xml:space="preserve"> the corresponding section of </w:t>
      </w:r>
      <w:r w:rsidRPr="00706834">
        <w:rPr>
          <w:b/>
          <w:lang w:val="en-US"/>
        </w:rPr>
        <w:t>Annex XI</w:t>
      </w:r>
      <w:r w:rsidR="00706834" w:rsidRPr="00706834">
        <w:rPr>
          <w:b/>
          <w:lang w:val="en-US"/>
        </w:rPr>
        <w:t>, MDR</w:t>
      </w:r>
      <w:r w:rsidRPr="00BB452C">
        <w:rPr>
          <w:lang w:val="en-US"/>
        </w:rPr>
        <w:t>:</w:t>
      </w:r>
    </w:p>
    <w:p w:rsidR="00BB452C" w:rsidRPr="00BB452C" w:rsidRDefault="00BB452C" w:rsidP="00BB452C">
      <w:pPr>
        <w:rPr>
          <w:lang w:val="en-US"/>
        </w:rPr>
      </w:pPr>
    </w:p>
    <w:p w:rsidR="00015E4A" w:rsidRDefault="00706834" w:rsidP="00BB452C">
      <w:pPr>
        <w:rPr>
          <w:lang w:val="en-US"/>
        </w:rPr>
      </w:pPr>
      <w:r>
        <w:rPr>
          <w:lang w:val="en-US"/>
        </w:rPr>
        <w:t>[Quote]</w:t>
      </w:r>
      <w:r w:rsidR="00BB452C" w:rsidRPr="00706834">
        <w:rPr>
          <w:i/>
          <w:lang w:val="en-US"/>
        </w:rPr>
        <w:t xml:space="preserve">In addition, the manufacturer shall provide the Notified Body with access to the technical documentation referred to in </w:t>
      </w:r>
      <w:r w:rsidR="00BB452C" w:rsidRPr="00706834">
        <w:rPr>
          <w:b/>
          <w:i/>
          <w:lang w:val="en-US"/>
        </w:rPr>
        <w:t>Annexes II and III of the MDR</w:t>
      </w:r>
      <w:r w:rsidR="00BB452C" w:rsidRPr="00BB452C">
        <w:rPr>
          <w:lang w:val="en-US"/>
        </w:rPr>
        <w:t xml:space="preserve"> [end of quote].</w:t>
      </w:r>
    </w:p>
    <w:p w:rsidR="00706834" w:rsidRPr="00BB452C" w:rsidRDefault="00706834" w:rsidP="00BB452C">
      <w:pPr>
        <w:rPr>
          <w:lang w:val="en-US"/>
        </w:rPr>
      </w:pPr>
    </w:p>
    <w:p w:rsidR="00015E4A" w:rsidRPr="00706834" w:rsidRDefault="00706834" w:rsidP="00CB624E">
      <w:pPr>
        <w:rPr>
          <w:lang w:val="en-US"/>
        </w:rPr>
      </w:pPr>
      <w:r w:rsidRPr="00706834">
        <w:rPr>
          <w:lang w:val="en-US"/>
        </w:rPr>
        <w:t xml:space="preserve">and </w:t>
      </w:r>
      <w:r w:rsidRPr="00706834">
        <w:rPr>
          <w:b/>
          <w:lang w:val="en-US"/>
        </w:rPr>
        <w:t>clause 4.2, Chapter II of Annex IX, MDR:</w:t>
      </w:r>
    </w:p>
    <w:p w:rsidR="00E31EBE" w:rsidRPr="00706834" w:rsidRDefault="00E31EBE" w:rsidP="00CB624E">
      <w:pPr>
        <w:rPr>
          <w:lang w:val="en-US"/>
        </w:rPr>
      </w:pPr>
    </w:p>
    <w:p w:rsidR="00E31EBE" w:rsidRPr="004A4E64" w:rsidRDefault="00706834" w:rsidP="00E31EBE">
      <w:pPr>
        <w:rPr>
          <w:i/>
          <w:lang w:val="en-US"/>
        </w:rPr>
      </w:pPr>
      <w:r>
        <w:rPr>
          <w:lang w:val="en-US"/>
        </w:rPr>
        <w:t>[Quote</w:t>
      </w:r>
      <w:r w:rsidR="00E31EBE" w:rsidRPr="00706834">
        <w:rPr>
          <w:lang w:val="en-US"/>
        </w:rPr>
        <w:t>]</w:t>
      </w:r>
      <w:r w:rsidRPr="00706834">
        <w:rPr>
          <w:lang w:val="en-US"/>
        </w:rPr>
        <w:t xml:space="preserve"> </w:t>
      </w:r>
      <w:r w:rsidRPr="00706834">
        <w:rPr>
          <w:i/>
          <w:lang w:val="en-US"/>
        </w:rPr>
        <w:t xml:space="preserve">The application shall describe the design, manufacture and performance of the device in question. It shall include the technical documentation as referred to in </w:t>
      </w:r>
      <w:r w:rsidRPr="004A4E64">
        <w:rPr>
          <w:b/>
          <w:i/>
          <w:lang w:val="en-US"/>
        </w:rPr>
        <w:t>Annexes II and III</w:t>
      </w:r>
      <w:r w:rsidR="004A4E64" w:rsidRPr="004A4E64">
        <w:rPr>
          <w:b/>
          <w:i/>
          <w:lang w:val="en-US"/>
        </w:rPr>
        <w:t>, MDR</w:t>
      </w:r>
      <w:r w:rsidRPr="00706834">
        <w:rPr>
          <w:i/>
          <w:lang w:val="en-US"/>
        </w:rPr>
        <w:t xml:space="preserve">. </w:t>
      </w:r>
      <w:r w:rsidR="00E31EBE" w:rsidRPr="004A4E64">
        <w:rPr>
          <w:i/>
          <w:lang w:val="en-US"/>
        </w:rPr>
        <w:t>[</w:t>
      </w:r>
      <w:r w:rsidRPr="004A4E64">
        <w:rPr>
          <w:i/>
          <w:lang w:val="en-US"/>
        </w:rPr>
        <w:t>Quote End</w:t>
      </w:r>
      <w:r w:rsidR="00E31EBE" w:rsidRPr="004A4E64">
        <w:rPr>
          <w:i/>
          <w:lang w:val="en-US"/>
        </w:rPr>
        <w:t>]</w:t>
      </w:r>
    </w:p>
    <w:p w:rsidR="002A1ED2" w:rsidRPr="004A4E64" w:rsidRDefault="002A1ED2" w:rsidP="00CB624E">
      <w:pPr>
        <w:rPr>
          <w:lang w:val="en-US"/>
        </w:rPr>
      </w:pPr>
    </w:p>
    <w:p w:rsidR="004A4E64" w:rsidRPr="004A4E64" w:rsidRDefault="004A4E64" w:rsidP="004A4E64">
      <w:pPr>
        <w:rPr>
          <w:lang w:val="en-US"/>
        </w:rPr>
      </w:pPr>
      <w:r w:rsidRPr="004A4E64">
        <w:rPr>
          <w:b/>
          <w:lang w:val="en-US"/>
        </w:rPr>
        <w:t>Section 2.2(c) of Annex IX to the MDR</w:t>
      </w:r>
      <w:r w:rsidRPr="004A4E64">
        <w:rPr>
          <w:lang w:val="en-US"/>
        </w:rPr>
        <w:t xml:space="preserve"> also includes the requirement for Submission of</w:t>
      </w:r>
    </w:p>
    <w:p w:rsidR="002A1ED2" w:rsidRPr="00B12509" w:rsidRDefault="000929BC" w:rsidP="004A4E64">
      <w:pPr>
        <w:pStyle w:val="Listenabsatz"/>
        <w:numPr>
          <w:ilvl w:val="0"/>
          <w:numId w:val="13"/>
        </w:numPr>
        <w:rPr>
          <w:lang w:val="en-US"/>
        </w:rPr>
      </w:pPr>
      <w:r>
        <w:rPr>
          <w:lang w:val="en-US"/>
        </w:rPr>
        <w:t>e</w:t>
      </w:r>
      <w:r w:rsidR="00B12509">
        <w:rPr>
          <w:lang w:val="en-US"/>
        </w:rPr>
        <w:t xml:space="preserve">vidence for </w:t>
      </w:r>
      <w:r w:rsidR="00B12509" w:rsidRPr="00B12509">
        <w:rPr>
          <w:lang w:val="en-US"/>
        </w:rPr>
        <w:t xml:space="preserve">identification of applicable general safety and performance requirements and solutions to fulfil those requirements, taking applicable CS and, where opted for, harmonized standards or other adequate solutions into account, </w:t>
      </w:r>
      <w:r w:rsidR="002A1ED2" w:rsidRPr="00B12509">
        <w:rPr>
          <w:lang w:val="en-US"/>
        </w:rPr>
        <w:t>(</w:t>
      </w:r>
      <w:r w:rsidR="00B12509" w:rsidRPr="00B12509">
        <w:rPr>
          <w:b/>
          <w:lang w:val="en-US"/>
        </w:rPr>
        <w:t>Annex IX, Section 2.2 c, second indent, MDR</w:t>
      </w:r>
      <w:r w:rsidR="002A1ED2" w:rsidRPr="00B12509">
        <w:rPr>
          <w:lang w:val="en-US"/>
        </w:rPr>
        <w:t>)</w:t>
      </w:r>
    </w:p>
    <w:p w:rsidR="002A1ED2" w:rsidRPr="00B12509" w:rsidRDefault="000929BC" w:rsidP="00B12509">
      <w:pPr>
        <w:pStyle w:val="Listenabsatz"/>
        <w:numPr>
          <w:ilvl w:val="0"/>
          <w:numId w:val="13"/>
        </w:numPr>
        <w:rPr>
          <w:lang w:val="en-US"/>
        </w:rPr>
      </w:pPr>
      <w:r>
        <w:rPr>
          <w:lang w:val="en-US"/>
        </w:rPr>
        <w:t>r</w:t>
      </w:r>
      <w:r w:rsidR="00B12509" w:rsidRPr="00B12509">
        <w:rPr>
          <w:lang w:val="en-US"/>
        </w:rPr>
        <w:t xml:space="preserve">isk management as referred to in </w:t>
      </w:r>
      <w:r w:rsidR="00B12509" w:rsidRPr="00B12509">
        <w:rPr>
          <w:b/>
          <w:lang w:val="en-US"/>
        </w:rPr>
        <w:t>Section 3 of Annex I, MDR</w:t>
      </w:r>
      <w:r w:rsidR="002A1ED2" w:rsidRPr="00B12509">
        <w:rPr>
          <w:lang w:val="en-US"/>
        </w:rPr>
        <w:t xml:space="preserve"> (</w:t>
      </w:r>
      <w:r w:rsidR="00AB3F75" w:rsidRPr="00B12509">
        <w:rPr>
          <w:b/>
          <w:lang w:val="en-US"/>
        </w:rPr>
        <w:t>An</w:t>
      </w:r>
      <w:r w:rsidR="00B12509" w:rsidRPr="00B12509">
        <w:rPr>
          <w:b/>
          <w:lang w:val="en-US"/>
        </w:rPr>
        <w:t>nex</w:t>
      </w:r>
      <w:r w:rsidR="00AB3F75" w:rsidRPr="00B12509">
        <w:rPr>
          <w:b/>
          <w:lang w:val="en-US"/>
        </w:rPr>
        <w:t xml:space="preserve"> IX, </w:t>
      </w:r>
      <w:r w:rsidR="00B12509" w:rsidRPr="00B12509">
        <w:rPr>
          <w:b/>
          <w:lang w:val="en-US"/>
        </w:rPr>
        <w:t xml:space="preserve">Section 2.2 c, </w:t>
      </w:r>
      <w:r w:rsidR="00B12509">
        <w:rPr>
          <w:b/>
          <w:lang w:val="en-US"/>
        </w:rPr>
        <w:t>third</w:t>
      </w:r>
      <w:r w:rsidR="00B12509" w:rsidRPr="00B12509">
        <w:rPr>
          <w:b/>
          <w:lang w:val="en-US"/>
        </w:rPr>
        <w:t xml:space="preserve"> indent, MDR</w:t>
      </w:r>
      <w:r w:rsidR="002A1ED2" w:rsidRPr="00B12509">
        <w:rPr>
          <w:b/>
          <w:lang w:val="en-US"/>
        </w:rPr>
        <w:t>)</w:t>
      </w:r>
    </w:p>
    <w:p w:rsidR="002A1ED2" w:rsidRPr="0080614D" w:rsidRDefault="000929BC" w:rsidP="0080614D">
      <w:pPr>
        <w:pStyle w:val="Listenabsatz"/>
        <w:numPr>
          <w:ilvl w:val="0"/>
          <w:numId w:val="13"/>
        </w:numPr>
        <w:rPr>
          <w:lang w:val="en-US"/>
        </w:rPr>
      </w:pPr>
      <w:r>
        <w:rPr>
          <w:lang w:val="en-US"/>
        </w:rPr>
        <w:t>The c</w:t>
      </w:r>
      <w:r w:rsidRPr="0080614D">
        <w:rPr>
          <w:lang w:val="en-US"/>
        </w:rPr>
        <w:t>linical</w:t>
      </w:r>
      <w:r w:rsidR="00B12509" w:rsidRPr="0080614D">
        <w:rPr>
          <w:lang w:val="en-US"/>
        </w:rPr>
        <w:t xml:space="preserve"> evaluation, pursuant to </w:t>
      </w:r>
      <w:r w:rsidR="00B12509" w:rsidRPr="0080614D">
        <w:rPr>
          <w:b/>
          <w:lang w:val="en-US"/>
        </w:rPr>
        <w:t>Article 61 and Annex XIV, MDR</w:t>
      </w:r>
      <w:r w:rsidR="00B12509" w:rsidRPr="0080614D">
        <w:rPr>
          <w:lang w:val="en-US"/>
        </w:rPr>
        <w:t xml:space="preserve">, including post-market clinical follow-up </w:t>
      </w:r>
      <w:r w:rsidR="002A1ED2" w:rsidRPr="0080614D">
        <w:rPr>
          <w:lang w:val="en-US"/>
        </w:rPr>
        <w:t>(</w:t>
      </w:r>
      <w:r w:rsidR="00AB3F75" w:rsidRPr="0080614D">
        <w:rPr>
          <w:b/>
          <w:lang w:val="en-US"/>
        </w:rPr>
        <w:t>An</w:t>
      </w:r>
      <w:r w:rsidR="0080614D">
        <w:rPr>
          <w:b/>
          <w:lang w:val="en-US"/>
        </w:rPr>
        <w:t>nex</w:t>
      </w:r>
      <w:r w:rsidR="00AB3F75" w:rsidRPr="0080614D">
        <w:rPr>
          <w:b/>
          <w:lang w:val="en-US"/>
        </w:rPr>
        <w:t xml:space="preserve"> IX, </w:t>
      </w:r>
      <w:r w:rsidR="0080614D">
        <w:rPr>
          <w:b/>
          <w:lang w:val="en-US"/>
        </w:rPr>
        <w:t>section</w:t>
      </w:r>
      <w:r w:rsidR="002A1ED2" w:rsidRPr="0080614D">
        <w:rPr>
          <w:b/>
          <w:lang w:val="en-US"/>
        </w:rPr>
        <w:t xml:space="preserve"> c, </w:t>
      </w:r>
      <w:r w:rsidR="0080614D">
        <w:rPr>
          <w:b/>
          <w:lang w:val="en-US"/>
        </w:rPr>
        <w:t>fourth indent</w:t>
      </w:r>
      <w:r w:rsidR="00AB3F75" w:rsidRPr="0080614D">
        <w:rPr>
          <w:b/>
          <w:lang w:val="en-US"/>
        </w:rPr>
        <w:t>, MDR</w:t>
      </w:r>
      <w:r w:rsidR="002A1ED2" w:rsidRPr="0080614D">
        <w:rPr>
          <w:lang w:val="en-US"/>
        </w:rPr>
        <w:t>)</w:t>
      </w:r>
      <w:r w:rsidR="00AB3F75" w:rsidRPr="0080614D">
        <w:rPr>
          <w:lang w:val="en-US"/>
        </w:rPr>
        <w:t xml:space="preserve">. </w:t>
      </w:r>
      <w:r w:rsidR="0080614D" w:rsidRPr="0080614D">
        <w:rPr>
          <w:lang w:val="en-US"/>
        </w:rPr>
        <w:t xml:space="preserve">In addition, the documents listed in </w:t>
      </w:r>
      <w:r w:rsidR="0080614D" w:rsidRPr="0080614D">
        <w:rPr>
          <w:b/>
          <w:lang w:val="en-US"/>
        </w:rPr>
        <w:t>Annex IX, Section 2.1, MDR</w:t>
      </w:r>
      <w:r w:rsidR="0080614D" w:rsidRPr="0080614D">
        <w:rPr>
          <w:lang w:val="en-US"/>
        </w:rPr>
        <w:t>:</w:t>
      </w:r>
    </w:p>
    <w:p w:rsidR="00AB3F75" w:rsidRPr="0080614D" w:rsidRDefault="0080614D" w:rsidP="00CB624E">
      <w:pPr>
        <w:pStyle w:val="Listenabsatz"/>
        <w:numPr>
          <w:ilvl w:val="1"/>
          <w:numId w:val="13"/>
        </w:numPr>
        <w:rPr>
          <w:lang w:val="en-US"/>
        </w:rPr>
      </w:pPr>
      <w:r w:rsidRPr="0080614D">
        <w:rPr>
          <w:lang w:val="en-US"/>
        </w:rPr>
        <w:t xml:space="preserve">documentation on the clinical evaluation plan </w:t>
      </w:r>
      <w:r w:rsidR="00AB3F75" w:rsidRPr="0080614D">
        <w:rPr>
          <w:lang w:val="en-US"/>
        </w:rPr>
        <w:t>(</w:t>
      </w:r>
      <w:r w:rsidR="00B32E0B" w:rsidRPr="0080614D">
        <w:rPr>
          <w:b/>
          <w:lang w:val="en-US"/>
        </w:rPr>
        <w:t>A</w:t>
      </w:r>
      <w:r w:rsidRPr="0080614D">
        <w:rPr>
          <w:b/>
          <w:lang w:val="en-US"/>
        </w:rPr>
        <w:t>nnex</w:t>
      </w:r>
      <w:r w:rsidR="00B32E0B" w:rsidRPr="0080614D">
        <w:rPr>
          <w:b/>
          <w:lang w:val="en-US"/>
        </w:rPr>
        <w:t xml:space="preserve"> IX, </w:t>
      </w:r>
      <w:r w:rsidRPr="0080614D">
        <w:rPr>
          <w:b/>
          <w:lang w:val="en-US"/>
        </w:rPr>
        <w:t>section</w:t>
      </w:r>
      <w:r w:rsidR="00AB3F75" w:rsidRPr="0080614D">
        <w:rPr>
          <w:b/>
          <w:lang w:val="en-US"/>
        </w:rPr>
        <w:t xml:space="preserve"> 2.1</w:t>
      </w:r>
      <w:r w:rsidR="007954EC" w:rsidRPr="0080614D">
        <w:rPr>
          <w:b/>
          <w:lang w:val="en-US"/>
        </w:rPr>
        <w:t xml:space="preserve">, </w:t>
      </w:r>
      <w:r>
        <w:rPr>
          <w:b/>
          <w:lang w:val="en-US"/>
        </w:rPr>
        <w:t>tenth indent</w:t>
      </w:r>
      <w:r w:rsidR="00B32E0B" w:rsidRPr="0080614D">
        <w:rPr>
          <w:b/>
          <w:lang w:val="en-US"/>
        </w:rPr>
        <w:t>, MDR</w:t>
      </w:r>
      <w:r w:rsidR="00B32E0B" w:rsidRPr="0080614D">
        <w:rPr>
          <w:lang w:val="en-US"/>
        </w:rPr>
        <w:t>)</w:t>
      </w:r>
    </w:p>
    <w:p w:rsidR="008D33D6" w:rsidRPr="0080614D" w:rsidRDefault="0080614D" w:rsidP="00CB624E">
      <w:pPr>
        <w:pStyle w:val="Listenabsatz"/>
        <w:numPr>
          <w:ilvl w:val="1"/>
          <w:numId w:val="13"/>
        </w:numPr>
        <w:rPr>
          <w:lang w:val="en-US"/>
        </w:rPr>
      </w:pPr>
      <w:r w:rsidRPr="0080614D">
        <w:rPr>
          <w:lang w:val="en-US"/>
        </w:rPr>
        <w:t xml:space="preserve">where applicable, the PMCF plan </w:t>
      </w:r>
      <w:r w:rsidR="008D33D6" w:rsidRPr="0080614D">
        <w:rPr>
          <w:lang w:val="en-US"/>
        </w:rPr>
        <w:t>(</w:t>
      </w:r>
      <w:r w:rsidR="008D33D6" w:rsidRPr="0080614D">
        <w:rPr>
          <w:b/>
          <w:lang w:val="en-US"/>
        </w:rPr>
        <w:t>A</w:t>
      </w:r>
      <w:r w:rsidRPr="0080614D">
        <w:rPr>
          <w:b/>
          <w:lang w:val="en-US"/>
        </w:rPr>
        <w:t>nnex IX, section</w:t>
      </w:r>
      <w:r w:rsidR="008D33D6" w:rsidRPr="0080614D">
        <w:rPr>
          <w:b/>
          <w:lang w:val="en-US"/>
        </w:rPr>
        <w:t xml:space="preserve"> 2.1, </w:t>
      </w:r>
      <w:r>
        <w:rPr>
          <w:b/>
          <w:lang w:val="en-US"/>
        </w:rPr>
        <w:t>ninth indent</w:t>
      </w:r>
      <w:r w:rsidR="008D33D6" w:rsidRPr="0080614D">
        <w:rPr>
          <w:b/>
          <w:lang w:val="en-US"/>
        </w:rPr>
        <w:t>, MDR</w:t>
      </w:r>
      <w:r w:rsidR="008D33D6" w:rsidRPr="0080614D">
        <w:rPr>
          <w:lang w:val="en-US"/>
        </w:rPr>
        <w:t>)</w:t>
      </w:r>
    </w:p>
    <w:p w:rsidR="002A1ED2" w:rsidRPr="00675914" w:rsidRDefault="00675914" w:rsidP="00CB624E">
      <w:pPr>
        <w:pStyle w:val="Listenabsatz"/>
        <w:numPr>
          <w:ilvl w:val="0"/>
          <w:numId w:val="13"/>
        </w:numPr>
        <w:rPr>
          <w:lang w:val="en-US"/>
        </w:rPr>
      </w:pPr>
      <w:r w:rsidRPr="00675914">
        <w:rPr>
          <w:lang w:val="en-US"/>
        </w:rPr>
        <w:t xml:space="preserve">solutions for fulfilling the applicable specific requirements regarding design and construction, including appropriate pre-clinical evaluation, in particular the requirements of </w:t>
      </w:r>
      <w:r>
        <w:rPr>
          <w:b/>
          <w:lang w:val="en-US"/>
        </w:rPr>
        <w:t>Chapter II of Annex I, MDR</w:t>
      </w:r>
      <w:r w:rsidRPr="00675914">
        <w:rPr>
          <w:lang w:val="en-US"/>
        </w:rPr>
        <w:t xml:space="preserve"> </w:t>
      </w:r>
      <w:r w:rsidR="002A1ED2" w:rsidRPr="00675914">
        <w:rPr>
          <w:lang w:val="en-US"/>
        </w:rPr>
        <w:t>(</w:t>
      </w:r>
      <w:r>
        <w:rPr>
          <w:b/>
          <w:lang w:val="en-US"/>
        </w:rPr>
        <w:t>Annex</w:t>
      </w:r>
      <w:r w:rsidR="00790B50" w:rsidRPr="00675914">
        <w:rPr>
          <w:b/>
          <w:lang w:val="en-US"/>
        </w:rPr>
        <w:t xml:space="preserve"> IX, </w:t>
      </w:r>
      <w:r>
        <w:rPr>
          <w:b/>
          <w:lang w:val="en-US"/>
        </w:rPr>
        <w:t>section</w:t>
      </w:r>
      <w:r w:rsidR="007954EC" w:rsidRPr="00675914">
        <w:rPr>
          <w:b/>
          <w:lang w:val="en-US"/>
        </w:rPr>
        <w:t xml:space="preserve"> 2.2</w:t>
      </w:r>
      <w:r w:rsidR="002A1ED2" w:rsidRPr="00675914">
        <w:rPr>
          <w:b/>
          <w:lang w:val="en-US"/>
        </w:rPr>
        <w:t xml:space="preserve">c, </w:t>
      </w:r>
      <w:r>
        <w:rPr>
          <w:b/>
          <w:lang w:val="en-US"/>
        </w:rPr>
        <w:t>fifth indent</w:t>
      </w:r>
      <w:r w:rsidR="002A1ED2" w:rsidRPr="00675914">
        <w:rPr>
          <w:lang w:val="en-US"/>
        </w:rPr>
        <w:t>)</w:t>
      </w:r>
    </w:p>
    <w:p w:rsidR="002A1ED2" w:rsidRPr="00675914" w:rsidRDefault="00675914" w:rsidP="00CB624E">
      <w:pPr>
        <w:pStyle w:val="Listenabsatz"/>
        <w:numPr>
          <w:ilvl w:val="0"/>
          <w:numId w:val="13"/>
        </w:numPr>
        <w:rPr>
          <w:lang w:val="en-US"/>
        </w:rPr>
      </w:pPr>
      <w:r w:rsidRPr="00675914">
        <w:rPr>
          <w:lang w:val="en-US"/>
        </w:rPr>
        <w:t xml:space="preserve">solutions for fulfilling the applicable specific requirements regarding the information to be supplied with the device, in particular the requirements of </w:t>
      </w:r>
      <w:r w:rsidRPr="00675914">
        <w:rPr>
          <w:b/>
          <w:lang w:val="en-US"/>
        </w:rPr>
        <w:t>Chapter III of Annex I, MDR</w:t>
      </w:r>
      <w:r w:rsidR="002A1ED2" w:rsidRPr="00675914">
        <w:rPr>
          <w:lang w:val="en-US"/>
        </w:rPr>
        <w:t>(</w:t>
      </w:r>
      <w:r w:rsidR="0025723F" w:rsidRPr="00675914">
        <w:rPr>
          <w:b/>
          <w:lang w:val="en-US"/>
        </w:rPr>
        <w:t>A</w:t>
      </w:r>
      <w:r>
        <w:rPr>
          <w:b/>
          <w:lang w:val="en-US"/>
        </w:rPr>
        <w:t>nnex</w:t>
      </w:r>
      <w:r w:rsidR="0025723F" w:rsidRPr="00675914">
        <w:rPr>
          <w:b/>
          <w:lang w:val="en-US"/>
        </w:rPr>
        <w:t xml:space="preserve"> IX, </w:t>
      </w:r>
      <w:r>
        <w:rPr>
          <w:b/>
          <w:lang w:val="en-US"/>
        </w:rPr>
        <w:t xml:space="preserve">section </w:t>
      </w:r>
      <w:r w:rsidR="00F37F3F" w:rsidRPr="00675914">
        <w:rPr>
          <w:b/>
          <w:lang w:val="en-US"/>
        </w:rPr>
        <w:t>2.2 c</w:t>
      </w:r>
      <w:r w:rsidR="002A1ED2" w:rsidRPr="00675914">
        <w:rPr>
          <w:b/>
          <w:lang w:val="en-US"/>
        </w:rPr>
        <w:t xml:space="preserve">, </w:t>
      </w:r>
      <w:r>
        <w:rPr>
          <w:b/>
          <w:lang w:val="en-US"/>
        </w:rPr>
        <w:t>sixth indent</w:t>
      </w:r>
      <w:r w:rsidR="00304152" w:rsidRPr="00675914">
        <w:rPr>
          <w:b/>
          <w:lang w:val="en-US"/>
        </w:rPr>
        <w:t>, MDR</w:t>
      </w:r>
      <w:r w:rsidR="002A1ED2" w:rsidRPr="00675914">
        <w:rPr>
          <w:lang w:val="en-US"/>
        </w:rPr>
        <w:t>)</w:t>
      </w:r>
    </w:p>
    <w:p w:rsidR="002A1ED2" w:rsidRPr="00211A27" w:rsidRDefault="00211A27" w:rsidP="00CB624E">
      <w:pPr>
        <w:pStyle w:val="Listenabsatz"/>
        <w:numPr>
          <w:ilvl w:val="0"/>
          <w:numId w:val="13"/>
        </w:numPr>
        <w:rPr>
          <w:lang w:val="en-US"/>
        </w:rPr>
      </w:pPr>
      <w:r w:rsidRPr="00211A27">
        <w:rPr>
          <w:lang w:val="en-US"/>
        </w:rPr>
        <w:t>the device identification procedures drawn up and kept up to date from drawings, specifications or other relevant documents at ev</w:t>
      </w:r>
      <w:r>
        <w:rPr>
          <w:lang w:val="en-US"/>
        </w:rPr>
        <w:t xml:space="preserve">ery stage of manufacture </w:t>
      </w:r>
      <w:r w:rsidR="002A1ED2" w:rsidRPr="00211A27">
        <w:rPr>
          <w:lang w:val="en-US"/>
        </w:rPr>
        <w:t>(</w:t>
      </w:r>
      <w:r w:rsidR="00F37F3F" w:rsidRPr="00211A27">
        <w:rPr>
          <w:b/>
          <w:lang w:val="en-US"/>
        </w:rPr>
        <w:t>A</w:t>
      </w:r>
      <w:r>
        <w:rPr>
          <w:b/>
          <w:lang w:val="en-US"/>
        </w:rPr>
        <w:t>nnex</w:t>
      </w:r>
      <w:r w:rsidR="00646E4D" w:rsidRPr="00211A27">
        <w:rPr>
          <w:b/>
          <w:lang w:val="en-US"/>
        </w:rPr>
        <w:t xml:space="preserve"> IX, </w:t>
      </w:r>
      <w:r>
        <w:rPr>
          <w:b/>
          <w:lang w:val="en-US"/>
        </w:rPr>
        <w:t xml:space="preserve">section </w:t>
      </w:r>
      <w:r w:rsidR="00646E4D" w:rsidRPr="00211A27">
        <w:rPr>
          <w:b/>
          <w:lang w:val="en-US"/>
        </w:rPr>
        <w:t xml:space="preserve">2.2 </w:t>
      </w:r>
      <w:r w:rsidR="002A1ED2" w:rsidRPr="00211A27">
        <w:rPr>
          <w:b/>
          <w:lang w:val="en-US"/>
        </w:rPr>
        <w:t xml:space="preserve">c, </w:t>
      </w:r>
      <w:r>
        <w:rPr>
          <w:b/>
          <w:lang w:val="en-US"/>
        </w:rPr>
        <w:t>seventh</w:t>
      </w:r>
      <w:r w:rsidR="002A1ED2" w:rsidRPr="00211A27">
        <w:rPr>
          <w:b/>
          <w:lang w:val="en-US"/>
        </w:rPr>
        <w:t xml:space="preserve"> </w:t>
      </w:r>
      <w:r>
        <w:rPr>
          <w:b/>
          <w:lang w:val="en-US"/>
        </w:rPr>
        <w:t>indent</w:t>
      </w:r>
      <w:r w:rsidR="00646E4D" w:rsidRPr="00211A27">
        <w:rPr>
          <w:b/>
          <w:lang w:val="en-US"/>
        </w:rPr>
        <w:t>, MDR</w:t>
      </w:r>
      <w:r w:rsidR="002A1ED2" w:rsidRPr="00211A27">
        <w:rPr>
          <w:lang w:val="en-US"/>
        </w:rPr>
        <w:t>)</w:t>
      </w:r>
    </w:p>
    <w:p w:rsidR="002A1ED2" w:rsidRPr="00211A27" w:rsidRDefault="00211A27" w:rsidP="00CB624E">
      <w:pPr>
        <w:pStyle w:val="Listenabsatz"/>
        <w:numPr>
          <w:ilvl w:val="0"/>
          <w:numId w:val="13"/>
        </w:numPr>
        <w:rPr>
          <w:lang w:val="en-US"/>
        </w:rPr>
      </w:pPr>
      <w:r w:rsidRPr="00211A27">
        <w:rPr>
          <w:lang w:val="en-US"/>
        </w:rPr>
        <w:t xml:space="preserve">the verification and quality assurance techniques at the manufacturing stage and in particular the processes and procedures which are to be used, particularly as regards sterilisation and the relevant documents; </w:t>
      </w:r>
      <w:r w:rsidR="00646E4D" w:rsidRPr="00211A27">
        <w:rPr>
          <w:lang w:val="en-US"/>
        </w:rPr>
        <w:t>(</w:t>
      </w:r>
      <w:r w:rsidR="00646E4D" w:rsidRPr="00211A27">
        <w:rPr>
          <w:b/>
          <w:lang w:val="en-US"/>
        </w:rPr>
        <w:t>An</w:t>
      </w:r>
      <w:r>
        <w:rPr>
          <w:b/>
          <w:lang w:val="en-US"/>
        </w:rPr>
        <w:t>nex IX, section</w:t>
      </w:r>
      <w:r w:rsidR="00A24114" w:rsidRPr="00211A27">
        <w:rPr>
          <w:b/>
          <w:lang w:val="en-US"/>
        </w:rPr>
        <w:t xml:space="preserve"> </w:t>
      </w:r>
      <w:r w:rsidR="00646E4D" w:rsidRPr="00211A27">
        <w:rPr>
          <w:b/>
          <w:lang w:val="en-US"/>
        </w:rPr>
        <w:t xml:space="preserve">2.2 </w:t>
      </w:r>
      <w:r w:rsidR="00A24114" w:rsidRPr="00211A27">
        <w:rPr>
          <w:b/>
          <w:lang w:val="en-US"/>
        </w:rPr>
        <w:t>d</w:t>
      </w:r>
      <w:r w:rsidR="00646E4D" w:rsidRPr="00211A27">
        <w:rPr>
          <w:b/>
          <w:lang w:val="en-US"/>
        </w:rPr>
        <w:t>, MDR</w:t>
      </w:r>
      <w:r w:rsidR="00646E4D" w:rsidRPr="00211A27">
        <w:rPr>
          <w:lang w:val="en-US"/>
        </w:rPr>
        <w:t>)</w:t>
      </w:r>
      <w:r w:rsidR="002A1ED2" w:rsidRPr="00211A27">
        <w:rPr>
          <w:lang w:val="en-US"/>
        </w:rPr>
        <w:t xml:space="preserve">; </w:t>
      </w:r>
    </w:p>
    <w:p w:rsidR="002A1ED2" w:rsidRPr="00CB624E" w:rsidRDefault="00211A27" w:rsidP="00CB624E">
      <w:pPr>
        <w:pStyle w:val="Listenabsatz"/>
      </w:pPr>
      <w:r>
        <w:t>and</w:t>
      </w:r>
      <w:r w:rsidR="002A1ED2" w:rsidRPr="00CB624E">
        <w:t xml:space="preserve"> </w:t>
      </w:r>
    </w:p>
    <w:p w:rsidR="002A1ED2" w:rsidRPr="00CB624E" w:rsidRDefault="00211A27" w:rsidP="00CB624E">
      <w:pPr>
        <w:pStyle w:val="Listenabsatz"/>
        <w:numPr>
          <w:ilvl w:val="0"/>
          <w:numId w:val="13"/>
        </w:numPr>
      </w:pPr>
      <w:r w:rsidRPr="00211A27">
        <w:rPr>
          <w:lang w:val="en-US"/>
        </w:rPr>
        <w:t xml:space="preserve">the appropriate tests and trials which are to be carried out before, during and after manufacture, the frequency with which they are to take place, and the test equipment to be used; it shall be possible to trace back adequately the calibration of that test equipment. </w:t>
      </w:r>
      <w:r w:rsidR="00CF6A7F">
        <w:t>(</w:t>
      </w:r>
      <w:r>
        <w:rPr>
          <w:b/>
        </w:rPr>
        <w:t>Annex</w:t>
      </w:r>
      <w:r w:rsidR="00CF6A7F" w:rsidRPr="00CF6A7F">
        <w:rPr>
          <w:b/>
        </w:rPr>
        <w:t xml:space="preserve"> IX, </w:t>
      </w:r>
      <w:r>
        <w:rPr>
          <w:b/>
        </w:rPr>
        <w:t xml:space="preserve">section </w:t>
      </w:r>
      <w:r w:rsidR="00A24114" w:rsidRPr="00CF6A7F">
        <w:rPr>
          <w:b/>
        </w:rPr>
        <w:t>e</w:t>
      </w:r>
      <w:r w:rsidR="00CF6A7F" w:rsidRPr="00CF6A7F">
        <w:rPr>
          <w:b/>
        </w:rPr>
        <w:t>, MDR</w:t>
      </w:r>
      <w:r w:rsidR="00CF6A7F">
        <w:t>)</w:t>
      </w:r>
      <w:r w:rsidR="002A1ED2" w:rsidRPr="00CB624E">
        <w:t>.</w:t>
      </w:r>
    </w:p>
    <w:p w:rsidR="002A1ED2" w:rsidRPr="00CB624E" w:rsidRDefault="002A1ED2" w:rsidP="00CB624E"/>
    <w:p w:rsidR="00396E44" w:rsidRPr="00396E44" w:rsidRDefault="00396E44" w:rsidP="00396E44">
      <w:pPr>
        <w:rPr>
          <w:lang w:val="en-US"/>
        </w:rPr>
      </w:pPr>
      <w:r w:rsidRPr="00396E44">
        <w:rPr>
          <w:lang w:val="en-US"/>
        </w:rPr>
        <w:t xml:space="preserve">For the purpose of completeness, the quality management system documents referred to in </w:t>
      </w:r>
      <w:r w:rsidRPr="00396E44">
        <w:rPr>
          <w:b/>
          <w:lang w:val="en-US"/>
        </w:rPr>
        <w:t>section 2.1 of Annex IX of the MDR</w:t>
      </w:r>
      <w:r w:rsidRPr="00396E44">
        <w:rPr>
          <w:lang w:val="en-US"/>
        </w:rPr>
        <w:t>, which are relevant for the conduct of audits, should also be mentioned.</w:t>
      </w:r>
    </w:p>
    <w:p w:rsidR="00396E44" w:rsidRPr="00396E44" w:rsidRDefault="00396E44" w:rsidP="00396E44">
      <w:pPr>
        <w:rPr>
          <w:lang w:val="en-US"/>
        </w:rPr>
      </w:pPr>
    </w:p>
    <w:p w:rsidR="00786383" w:rsidRDefault="00396E44" w:rsidP="00396E44">
      <w:pPr>
        <w:rPr>
          <w:lang w:val="en-US"/>
        </w:rPr>
      </w:pPr>
      <w:r w:rsidRPr="00396E44">
        <w:rPr>
          <w:lang w:val="en-US"/>
        </w:rPr>
        <w:t>A comprehensive checklist for the documents to be submitted can be found in Annex I as a separate document.</w:t>
      </w:r>
    </w:p>
    <w:p w:rsidR="00396E44" w:rsidRPr="00396E44" w:rsidRDefault="00396E44" w:rsidP="00396E44">
      <w:pPr>
        <w:rPr>
          <w:lang w:val="en-US"/>
        </w:rPr>
      </w:pPr>
    </w:p>
    <w:p w:rsidR="00AE7EA9" w:rsidRDefault="00632DEB" w:rsidP="00632DEB">
      <w:pPr>
        <w:pStyle w:val="berschrift1"/>
        <w:numPr>
          <w:ilvl w:val="0"/>
          <w:numId w:val="49"/>
        </w:numPr>
        <w:rPr>
          <w:lang w:val="en-US"/>
        </w:rPr>
      </w:pPr>
      <w:bookmarkStart w:id="2" w:name="_Toc47933889"/>
      <w:r>
        <w:rPr>
          <w:lang w:val="en-US"/>
        </w:rPr>
        <w:t>I</w:t>
      </w:r>
      <w:r w:rsidR="00AE7EA9" w:rsidRPr="00AE7EA9">
        <w:rPr>
          <w:lang w:val="en-US"/>
        </w:rPr>
        <w:t>n plain language - what, when, how and in what form should documents be submitted</w:t>
      </w:r>
      <w:bookmarkEnd w:id="2"/>
    </w:p>
    <w:p w:rsidR="00AE7EA9" w:rsidRPr="00AE7EA9" w:rsidRDefault="00AE7EA9" w:rsidP="00AE7EA9">
      <w:pPr>
        <w:rPr>
          <w:lang w:val="en-US"/>
        </w:rPr>
      </w:pPr>
      <w:r w:rsidRPr="00AE7EA9">
        <w:rPr>
          <w:lang w:val="en-US"/>
        </w:rPr>
        <w:t>The structure of a technical documentation, especially for products that already have a marketing authorization, has often grown historically and orients itself on various internal and external specifications and guidelines (e.g. the STED format). Furthermore, although the content of the technical documentation under the guidelines was roughly outlined, specific information could only be found in additional, supplementary and non-regulatory binding documents.</w:t>
      </w:r>
    </w:p>
    <w:p w:rsidR="00AE7EA9" w:rsidRPr="00AE7EA9" w:rsidRDefault="00AE7EA9" w:rsidP="00AE7EA9">
      <w:pPr>
        <w:rPr>
          <w:lang w:val="en-US"/>
        </w:rPr>
      </w:pPr>
      <w:r w:rsidRPr="00AE7EA9">
        <w:rPr>
          <w:lang w:val="en-US"/>
        </w:rPr>
        <w:t xml:space="preserve">A binding structure for the technical documentation is also not laid down by the MDR, but in contrast to the MDD, it does provide specific information on the format and content of the technical documentation and the associated documents. </w:t>
      </w:r>
    </w:p>
    <w:p w:rsidR="007F3B7C" w:rsidRPr="00DB3373" w:rsidRDefault="00AE7EA9" w:rsidP="00AE7EA9">
      <w:pPr>
        <w:rPr>
          <w:lang w:val="en-US"/>
        </w:rPr>
      </w:pPr>
      <w:r w:rsidRPr="00DB3373">
        <w:rPr>
          <w:lang w:val="en-US"/>
        </w:rPr>
        <w:t>This section provides information about what you need to consider when submitting technical documentation for review by the experts of DQS Medizinprodukte GmbH and suggests a basic structure for the layout of the product file.</w:t>
      </w:r>
    </w:p>
    <w:p w:rsidR="006C01D1" w:rsidRPr="00DB3373" w:rsidRDefault="006C01D1" w:rsidP="003849F3">
      <w:pPr>
        <w:rPr>
          <w:lang w:val="en-US"/>
        </w:rPr>
      </w:pPr>
    </w:p>
    <w:tbl>
      <w:tblPr>
        <w:tblStyle w:val="Tabellenraster"/>
        <w:tblW w:w="5000" w:type="pct"/>
        <w:tblInd w:w="0" w:type="dxa"/>
        <w:tblLook w:val="04A0" w:firstRow="1" w:lastRow="0" w:firstColumn="1" w:lastColumn="0" w:noHBand="0" w:noVBand="1"/>
      </w:tblPr>
      <w:tblGrid>
        <w:gridCol w:w="9062"/>
      </w:tblGrid>
      <w:tr w:rsidR="009109C4" w:rsidTr="00C2418D">
        <w:tc>
          <w:tcPr>
            <w:tcW w:w="5000" w:type="pct"/>
            <w:shd w:val="clear" w:color="auto" w:fill="B8CCE4" w:themeFill="accent1" w:themeFillTint="66"/>
          </w:tcPr>
          <w:p w:rsidR="009109C4" w:rsidRPr="003F1BDC" w:rsidRDefault="009109C4" w:rsidP="004405D1">
            <w:pPr>
              <w:rPr>
                <w:b/>
              </w:rPr>
            </w:pPr>
            <w:r w:rsidRPr="003F1BDC">
              <w:rPr>
                <w:b/>
              </w:rPr>
              <w:t>A</w:t>
            </w:r>
            <w:r w:rsidR="004405D1">
              <w:rPr>
                <w:b/>
              </w:rPr>
              <w:t>ttention</w:t>
            </w:r>
            <w:r w:rsidRPr="003F1BDC">
              <w:rPr>
                <w:b/>
              </w:rPr>
              <w:t>:</w:t>
            </w:r>
          </w:p>
        </w:tc>
      </w:tr>
      <w:tr w:rsidR="009109C4" w:rsidRPr="00632DEB" w:rsidTr="00C2418D">
        <w:tc>
          <w:tcPr>
            <w:tcW w:w="5000" w:type="pct"/>
            <w:shd w:val="clear" w:color="auto" w:fill="DBE5F1" w:themeFill="accent1" w:themeFillTint="33"/>
          </w:tcPr>
          <w:p w:rsidR="00AE7EA9" w:rsidRPr="00AE7EA9" w:rsidRDefault="00AE7EA9" w:rsidP="00AE7EA9">
            <w:pPr>
              <w:rPr>
                <w:sz w:val="18"/>
                <w:lang w:val="en-US"/>
              </w:rPr>
            </w:pPr>
            <w:r w:rsidRPr="00AE7EA9">
              <w:rPr>
                <w:sz w:val="18"/>
                <w:lang w:val="en-US"/>
              </w:rPr>
              <w:t>The MDR does not make any differences between the individual risk classes with regard to the scope of the technical documentation.</w:t>
            </w:r>
          </w:p>
          <w:p w:rsidR="00AE7EA9" w:rsidRPr="00AE7EA9" w:rsidRDefault="00AE7EA9" w:rsidP="00AE7EA9">
            <w:pPr>
              <w:rPr>
                <w:sz w:val="18"/>
                <w:lang w:val="en-US"/>
              </w:rPr>
            </w:pPr>
            <w:r w:rsidRPr="00AE7EA9">
              <w:rPr>
                <w:sz w:val="18"/>
                <w:lang w:val="en-US"/>
              </w:rPr>
              <w:t xml:space="preserve">This also applies to Notified Bodies regarding the depth of review. We are obliged to assess the technical documentation for compliance with the requirements regardless of its risk class, although the methodology may vary depending on the product. </w:t>
            </w:r>
          </w:p>
          <w:p w:rsidR="009109C4" w:rsidRPr="00AE7EA9" w:rsidRDefault="00AE7EA9" w:rsidP="00AE7EA9">
            <w:pPr>
              <w:rPr>
                <w:sz w:val="18"/>
                <w:lang w:val="en-US"/>
              </w:rPr>
            </w:pPr>
            <w:r w:rsidRPr="00AE7EA9">
              <w:rPr>
                <w:sz w:val="18"/>
                <w:lang w:val="en-US"/>
              </w:rPr>
              <w:t>Example: In principle, clinical studies must be carried out for the collection of clinical data for all products, but under certain circumstances the literature route can be chosen. These exceptions do not actually apply to Class III devices, but the MDR does specify when a clinical study can be omitted.</w:t>
            </w:r>
          </w:p>
        </w:tc>
      </w:tr>
    </w:tbl>
    <w:p w:rsidR="002A1ED2" w:rsidRPr="00AE7EA9" w:rsidRDefault="002A1ED2" w:rsidP="00CB624E">
      <w:pPr>
        <w:rPr>
          <w:lang w:val="en-US"/>
        </w:rPr>
      </w:pPr>
    </w:p>
    <w:p w:rsidR="00EE01BC" w:rsidRPr="00FB1FD1" w:rsidRDefault="00112F84" w:rsidP="00632DEB">
      <w:pPr>
        <w:pStyle w:val="berschrift2"/>
        <w:numPr>
          <w:ilvl w:val="1"/>
          <w:numId w:val="50"/>
        </w:numPr>
      </w:pPr>
      <w:bookmarkStart w:id="3" w:name="_Toc47933890"/>
      <w:r w:rsidRPr="00FB1FD1">
        <w:t>Format</w:t>
      </w:r>
      <w:bookmarkEnd w:id="3"/>
    </w:p>
    <w:p w:rsidR="004D1611" w:rsidRDefault="004405D1" w:rsidP="00CB624E">
      <w:pPr>
        <w:rPr>
          <w:lang w:val="en-US"/>
        </w:rPr>
      </w:pPr>
      <w:r w:rsidRPr="004405D1">
        <w:rPr>
          <w:lang w:val="en-US"/>
        </w:rPr>
        <w:t>The technical documentation and the associated documentation elements must be made available to DQS Medizinprodukte GmbH as follows</w:t>
      </w:r>
      <w:r w:rsidR="003B0181">
        <w:rPr>
          <w:lang w:val="en-US"/>
        </w:rPr>
        <w:t>:</w:t>
      </w:r>
    </w:p>
    <w:p w:rsidR="004405D1" w:rsidRPr="004405D1" w:rsidRDefault="004405D1" w:rsidP="00CB624E">
      <w:pPr>
        <w:rPr>
          <w:lang w:val="en-US"/>
        </w:rPr>
      </w:pPr>
    </w:p>
    <w:p w:rsidR="004405D1" w:rsidRPr="004405D1" w:rsidRDefault="004405D1" w:rsidP="004405D1">
      <w:pPr>
        <w:pStyle w:val="Listenabsatz"/>
        <w:numPr>
          <w:ilvl w:val="0"/>
          <w:numId w:val="13"/>
        </w:numPr>
        <w:rPr>
          <w:lang w:val="en-US"/>
        </w:rPr>
      </w:pPr>
      <w:r w:rsidRPr="004405D1">
        <w:rPr>
          <w:lang w:val="en-US"/>
        </w:rPr>
        <w:t>electronically (paper files are not accepted),</w:t>
      </w:r>
    </w:p>
    <w:p w:rsidR="004405D1" w:rsidRPr="004405D1" w:rsidRDefault="004405D1" w:rsidP="004405D1">
      <w:pPr>
        <w:pStyle w:val="Listenabsatz"/>
        <w:numPr>
          <w:ilvl w:val="0"/>
          <w:numId w:val="13"/>
        </w:numPr>
        <w:rPr>
          <w:lang w:val="en-US"/>
        </w:rPr>
      </w:pPr>
      <w:r w:rsidRPr="004405D1">
        <w:rPr>
          <w:lang w:val="en-US"/>
        </w:rPr>
        <w:t>machine-readable and searchable as</w:t>
      </w:r>
    </w:p>
    <w:p w:rsidR="004405D1" w:rsidRPr="004405D1" w:rsidRDefault="004405D1" w:rsidP="004405D1">
      <w:pPr>
        <w:pStyle w:val="Listenabsatz"/>
        <w:numPr>
          <w:ilvl w:val="1"/>
          <w:numId w:val="13"/>
        </w:numPr>
        <w:rPr>
          <w:lang w:val="en-US"/>
        </w:rPr>
      </w:pPr>
      <w:r w:rsidRPr="004405D1">
        <w:rPr>
          <w:lang w:val="en-US"/>
        </w:rPr>
        <w:t>Microsoft Word documents or similar file formats (open Office) or</w:t>
      </w:r>
    </w:p>
    <w:p w:rsidR="004405D1" w:rsidRPr="004405D1" w:rsidRDefault="004405D1" w:rsidP="004405D1">
      <w:pPr>
        <w:pStyle w:val="Listenabsatz"/>
        <w:numPr>
          <w:ilvl w:val="1"/>
          <w:numId w:val="13"/>
        </w:numPr>
        <w:rPr>
          <w:lang w:val="en-US"/>
        </w:rPr>
      </w:pPr>
      <w:r w:rsidRPr="004405D1">
        <w:rPr>
          <w:lang w:val="en-US"/>
        </w:rPr>
        <w:t>searchable PDF files (with applied OPC),</w:t>
      </w:r>
    </w:p>
    <w:p w:rsidR="004405D1" w:rsidRPr="004405D1" w:rsidRDefault="004405D1" w:rsidP="004405D1">
      <w:pPr>
        <w:pStyle w:val="Listenabsatz"/>
        <w:numPr>
          <w:ilvl w:val="0"/>
          <w:numId w:val="13"/>
        </w:numPr>
        <w:rPr>
          <w:lang w:val="en-US"/>
        </w:rPr>
      </w:pPr>
      <w:r w:rsidRPr="004405D1">
        <w:rPr>
          <w:lang w:val="en-US"/>
        </w:rPr>
        <w:t>complete (the evaluation of the documentation can only start when all documents are complete)</w:t>
      </w:r>
    </w:p>
    <w:p w:rsidR="004405D1" w:rsidRPr="004405D1" w:rsidRDefault="004405D1" w:rsidP="004405D1">
      <w:pPr>
        <w:pStyle w:val="Listenabsatz"/>
        <w:numPr>
          <w:ilvl w:val="0"/>
          <w:numId w:val="13"/>
        </w:numPr>
        <w:rPr>
          <w:lang w:val="en-US"/>
        </w:rPr>
      </w:pPr>
      <w:r w:rsidRPr="004405D1">
        <w:rPr>
          <w:lang w:val="en-US"/>
        </w:rPr>
        <w:t>in a clear, organized and unambiguous manner,</w:t>
      </w:r>
    </w:p>
    <w:p w:rsidR="003D56AF" w:rsidRDefault="004405D1" w:rsidP="004405D1">
      <w:pPr>
        <w:pStyle w:val="Listenabsatz"/>
        <w:numPr>
          <w:ilvl w:val="0"/>
          <w:numId w:val="13"/>
        </w:numPr>
        <w:rPr>
          <w:lang w:val="en-US"/>
        </w:rPr>
      </w:pPr>
      <w:r w:rsidRPr="004405D1">
        <w:rPr>
          <w:lang w:val="en-US"/>
        </w:rPr>
        <w:t>and in German or English</w:t>
      </w:r>
    </w:p>
    <w:p w:rsidR="004405D1" w:rsidRPr="004405D1" w:rsidRDefault="004405D1" w:rsidP="004405D1">
      <w:pPr>
        <w:rPr>
          <w:lang w:val="en-US"/>
        </w:rPr>
      </w:pPr>
    </w:p>
    <w:p w:rsidR="004405D1" w:rsidRPr="004405D1" w:rsidRDefault="004405D1" w:rsidP="004405D1">
      <w:pPr>
        <w:rPr>
          <w:lang w:val="en-US"/>
        </w:rPr>
      </w:pPr>
      <w:r w:rsidRPr="004405D1">
        <w:rPr>
          <w:lang w:val="en-US"/>
        </w:rPr>
        <w:t>The following applies to the submission of graphics, pictures, drawings or video formats</w:t>
      </w:r>
    </w:p>
    <w:p w:rsidR="00FB1FD1" w:rsidRDefault="004405D1" w:rsidP="004405D1">
      <w:pPr>
        <w:pStyle w:val="Listenabsatz"/>
        <w:numPr>
          <w:ilvl w:val="0"/>
          <w:numId w:val="48"/>
        </w:numPr>
        <w:rPr>
          <w:lang w:val="en-US"/>
        </w:rPr>
      </w:pPr>
      <w:r w:rsidRPr="004405D1">
        <w:rPr>
          <w:lang w:val="en-US"/>
        </w:rPr>
        <w:t>Please use the usual file formats (JPG, PNG, BMP, GIF, mp3, mp4, WMV, MPEG I and II etc.), which can be displayed correctly without additional proprietary software</w:t>
      </w:r>
    </w:p>
    <w:p w:rsidR="003B0181" w:rsidRPr="004405D1" w:rsidRDefault="003B0181" w:rsidP="003B0181">
      <w:pPr>
        <w:pStyle w:val="Listenabsatz"/>
        <w:rPr>
          <w:lang w:val="en-US"/>
        </w:rPr>
      </w:pPr>
    </w:p>
    <w:p w:rsidR="007F3F63" w:rsidRDefault="003B0181" w:rsidP="00EC53E1">
      <w:pPr>
        <w:rPr>
          <w:lang w:val="en-US"/>
        </w:rPr>
      </w:pPr>
      <w:r w:rsidRPr="003B0181">
        <w:rPr>
          <w:lang w:val="en-US"/>
        </w:rPr>
        <w:t>The transmission takes place by uploading the files via the DQS Share Portal. If you have any questions regarding this matter, please contact your customer support officer/regulatory affairs manager.</w:t>
      </w:r>
    </w:p>
    <w:p w:rsidR="003B0181" w:rsidRPr="003B0181" w:rsidRDefault="003B0181" w:rsidP="00EC53E1">
      <w:pPr>
        <w:rPr>
          <w:lang w:val="en-US"/>
        </w:rPr>
      </w:pPr>
    </w:p>
    <w:p w:rsidR="00FC7986" w:rsidRDefault="00FC7986" w:rsidP="00B10DAF">
      <w:pPr>
        <w:rPr>
          <w:lang w:val="en-US"/>
        </w:rPr>
      </w:pPr>
      <w:r w:rsidRPr="00FC7986">
        <w:rPr>
          <w:lang w:val="en-US"/>
        </w:rPr>
        <w:t xml:space="preserve">Author's note: These requirements result, among others, directly from </w:t>
      </w:r>
      <w:r w:rsidRPr="00FC7986">
        <w:rPr>
          <w:b/>
          <w:lang w:val="en-US"/>
        </w:rPr>
        <w:t>Annex II, first section of the MDR</w:t>
      </w:r>
      <w:r w:rsidRPr="00FC7986">
        <w:rPr>
          <w:lang w:val="en-US"/>
        </w:rPr>
        <w:t xml:space="preserve">: </w:t>
      </w:r>
    </w:p>
    <w:p w:rsidR="00FC7986" w:rsidRDefault="00FC7986" w:rsidP="00B10DAF">
      <w:pPr>
        <w:rPr>
          <w:lang w:val="en-US"/>
        </w:rPr>
      </w:pPr>
    </w:p>
    <w:p w:rsidR="00B10DAF" w:rsidRPr="003B0181" w:rsidRDefault="003B0181" w:rsidP="00B10DAF">
      <w:pPr>
        <w:rPr>
          <w:lang w:val="en-US"/>
        </w:rPr>
      </w:pPr>
      <w:r>
        <w:rPr>
          <w:lang w:val="en-US"/>
        </w:rPr>
        <w:t>[Quote</w:t>
      </w:r>
      <w:r w:rsidR="00B10DAF" w:rsidRPr="003B0181">
        <w:rPr>
          <w:lang w:val="en-US"/>
        </w:rPr>
        <w:t xml:space="preserve">] </w:t>
      </w:r>
      <w:r w:rsidRPr="003B0181">
        <w:rPr>
          <w:i/>
          <w:lang w:val="en-US"/>
        </w:rPr>
        <w:t xml:space="preserve">The technical documentation and, if applicable, the summary thereof to be drawn up by the manufacturer shall be presented in a clear, </w:t>
      </w:r>
      <w:r w:rsidR="00FC7986" w:rsidRPr="003B0181">
        <w:rPr>
          <w:i/>
          <w:lang w:val="en-US"/>
        </w:rPr>
        <w:t>organized</w:t>
      </w:r>
      <w:r w:rsidRPr="003B0181">
        <w:rPr>
          <w:i/>
          <w:lang w:val="en-US"/>
        </w:rPr>
        <w:t>, readily searchable and unambiguous manner</w:t>
      </w:r>
      <w:r w:rsidRPr="003B0181">
        <w:rPr>
          <w:lang w:val="en-US"/>
        </w:rPr>
        <w:t xml:space="preserve"> </w:t>
      </w:r>
      <w:r>
        <w:rPr>
          <w:lang w:val="en-US"/>
        </w:rPr>
        <w:t>[Quote End</w:t>
      </w:r>
      <w:r w:rsidR="00B10DAF" w:rsidRPr="003B0181">
        <w:rPr>
          <w:lang w:val="en-US"/>
        </w:rPr>
        <w:t>]</w:t>
      </w:r>
    </w:p>
    <w:p w:rsidR="00B10DAF" w:rsidRPr="003B0181" w:rsidRDefault="00B10DAF" w:rsidP="00EC53E1">
      <w:pPr>
        <w:rPr>
          <w:lang w:val="en-US"/>
        </w:rPr>
      </w:pPr>
    </w:p>
    <w:p w:rsidR="00FC7986" w:rsidRDefault="00FC7986" w:rsidP="00FC7986">
      <w:pPr>
        <w:pStyle w:val="Listenabsatz"/>
        <w:rPr>
          <w:u w:val="single"/>
          <w:lang w:val="en-US"/>
        </w:rPr>
      </w:pPr>
      <w:r w:rsidRPr="00FC7986">
        <w:rPr>
          <w:u w:val="single"/>
          <w:lang w:val="en-US"/>
        </w:rPr>
        <w:t>Furthermore please note:</w:t>
      </w:r>
    </w:p>
    <w:p w:rsidR="00FC7986" w:rsidRPr="00FC7986" w:rsidRDefault="00FC7986" w:rsidP="00B33AAB">
      <w:pPr>
        <w:pStyle w:val="Listenabsatz"/>
        <w:numPr>
          <w:ilvl w:val="0"/>
          <w:numId w:val="48"/>
        </w:numPr>
        <w:rPr>
          <w:lang w:val="en-US"/>
        </w:rPr>
      </w:pPr>
      <w:r w:rsidRPr="00FC7986">
        <w:rPr>
          <w:lang w:val="en-US"/>
        </w:rPr>
        <w:t>All files should preferably be uploaded in one or more packed (ZIP) folders.</w:t>
      </w:r>
    </w:p>
    <w:p w:rsidR="00FC7986" w:rsidRPr="00FC7986" w:rsidRDefault="00FC7986" w:rsidP="00B33AAB">
      <w:pPr>
        <w:pStyle w:val="Listenabsatz"/>
        <w:numPr>
          <w:ilvl w:val="0"/>
          <w:numId w:val="48"/>
        </w:numPr>
        <w:rPr>
          <w:lang w:val="en-US"/>
        </w:rPr>
      </w:pPr>
      <w:r w:rsidRPr="00FC7986">
        <w:rPr>
          <w:lang w:val="en-US"/>
        </w:rPr>
        <w:t xml:space="preserve">The file names should be unique and short to avoid problems with archiving and opening the files. File names should be logical and reflect the information covered within </w:t>
      </w:r>
      <w:r w:rsidR="00130E96">
        <w:rPr>
          <w:lang w:val="en-US"/>
        </w:rPr>
        <w:t>the file</w:t>
      </w:r>
      <w:r w:rsidRPr="00FC7986">
        <w:rPr>
          <w:lang w:val="en-US"/>
        </w:rPr>
        <w:t>.</w:t>
      </w:r>
    </w:p>
    <w:p w:rsidR="00FC7986" w:rsidRPr="00FC7986" w:rsidRDefault="00FC7986" w:rsidP="00B33AAB">
      <w:pPr>
        <w:pStyle w:val="Listenabsatz"/>
        <w:numPr>
          <w:ilvl w:val="0"/>
          <w:numId w:val="48"/>
        </w:numPr>
        <w:rPr>
          <w:lang w:val="en-US"/>
        </w:rPr>
      </w:pPr>
      <w:r w:rsidRPr="00FC7986">
        <w:rPr>
          <w:lang w:val="en-US"/>
        </w:rPr>
        <w:t>Please avoid complex folder structures and do not merge individual documents into large PDF files.</w:t>
      </w:r>
    </w:p>
    <w:p w:rsidR="00FC7986" w:rsidRPr="00FC7986" w:rsidRDefault="00FC7986" w:rsidP="00B33AAB">
      <w:pPr>
        <w:pStyle w:val="Listenabsatz"/>
        <w:numPr>
          <w:ilvl w:val="0"/>
          <w:numId w:val="48"/>
        </w:numPr>
        <w:rPr>
          <w:lang w:val="en-US"/>
        </w:rPr>
      </w:pPr>
      <w:r w:rsidRPr="00FC7986">
        <w:rPr>
          <w:lang w:val="en-US"/>
        </w:rPr>
        <w:t>Do not write-protect PDF files to avoid problems with storing, naming and archiving files.</w:t>
      </w:r>
    </w:p>
    <w:p w:rsidR="00FC7986" w:rsidRPr="00B33AAB" w:rsidRDefault="00FC7986" w:rsidP="00B33AAB">
      <w:pPr>
        <w:pStyle w:val="Listenabsatz"/>
        <w:numPr>
          <w:ilvl w:val="0"/>
          <w:numId w:val="48"/>
        </w:numPr>
        <w:rPr>
          <w:lang w:val="en-US"/>
        </w:rPr>
      </w:pPr>
      <w:r w:rsidRPr="00FC7986">
        <w:rPr>
          <w:lang w:val="en-US"/>
        </w:rPr>
        <w:t xml:space="preserve">Signatures must be submitted together with the corresponding files. </w:t>
      </w:r>
      <w:r w:rsidRPr="00B33AAB">
        <w:rPr>
          <w:lang w:val="en-US"/>
        </w:rPr>
        <w:t>This is possible</w:t>
      </w:r>
      <w:r w:rsidR="00130E96">
        <w:rPr>
          <w:lang w:val="en-US"/>
        </w:rPr>
        <w:t xml:space="preserve"> by</w:t>
      </w:r>
      <w:r w:rsidRPr="00B33AAB">
        <w:rPr>
          <w:lang w:val="en-US"/>
        </w:rPr>
        <w:t>:</w:t>
      </w:r>
    </w:p>
    <w:p w:rsidR="00FC7986" w:rsidRPr="00B33AAB" w:rsidRDefault="00130E96" w:rsidP="00B33AAB">
      <w:pPr>
        <w:pStyle w:val="Listenabsatz"/>
        <w:numPr>
          <w:ilvl w:val="1"/>
          <w:numId w:val="48"/>
        </w:numPr>
        <w:rPr>
          <w:lang w:val="en-US"/>
        </w:rPr>
      </w:pPr>
      <w:r>
        <w:rPr>
          <w:lang w:val="en-US"/>
        </w:rPr>
        <w:t>signing</w:t>
      </w:r>
      <w:r w:rsidR="00FC7986" w:rsidRPr="00B33AAB">
        <w:rPr>
          <w:lang w:val="en-US"/>
        </w:rPr>
        <w:t xml:space="preserve"> digitally</w:t>
      </w:r>
    </w:p>
    <w:p w:rsidR="00FC7986" w:rsidRPr="00B33AAB" w:rsidRDefault="00130E96" w:rsidP="00B33AAB">
      <w:pPr>
        <w:pStyle w:val="Listenabsatz"/>
        <w:numPr>
          <w:ilvl w:val="1"/>
          <w:numId w:val="48"/>
        </w:numPr>
        <w:rPr>
          <w:lang w:val="en-US"/>
        </w:rPr>
      </w:pPr>
      <w:r>
        <w:rPr>
          <w:lang w:val="en-US"/>
        </w:rPr>
        <w:t>scaning</w:t>
      </w:r>
      <w:r w:rsidR="00FC7986" w:rsidRPr="00B33AAB">
        <w:rPr>
          <w:lang w:val="en-US"/>
        </w:rPr>
        <w:t xml:space="preserve"> signature pages</w:t>
      </w:r>
    </w:p>
    <w:p w:rsidR="00B10DAF" w:rsidRPr="00FC7986" w:rsidRDefault="00FC7986" w:rsidP="00B33AAB">
      <w:pPr>
        <w:pStyle w:val="Listenabsatz"/>
        <w:numPr>
          <w:ilvl w:val="0"/>
          <w:numId w:val="48"/>
        </w:numPr>
        <w:rPr>
          <w:lang w:val="en-US"/>
        </w:rPr>
      </w:pPr>
      <w:r w:rsidRPr="00FC7986">
        <w:rPr>
          <w:lang w:val="en-US"/>
        </w:rPr>
        <w:t>Only released documents are to be submitted (with the exception of the declaration of conformity)</w:t>
      </w:r>
    </w:p>
    <w:tbl>
      <w:tblPr>
        <w:tblStyle w:val="Tabellenraster"/>
        <w:tblW w:w="5000" w:type="pct"/>
        <w:tblInd w:w="0" w:type="dxa"/>
        <w:tblLook w:val="04A0" w:firstRow="1" w:lastRow="0" w:firstColumn="1" w:lastColumn="0" w:noHBand="0" w:noVBand="1"/>
      </w:tblPr>
      <w:tblGrid>
        <w:gridCol w:w="9062"/>
      </w:tblGrid>
      <w:tr w:rsidR="00FB1FD1" w:rsidTr="00FB1FD1">
        <w:tc>
          <w:tcPr>
            <w:tcW w:w="5000" w:type="pct"/>
            <w:shd w:val="clear" w:color="auto" w:fill="B8CCE4" w:themeFill="accent1" w:themeFillTint="66"/>
          </w:tcPr>
          <w:p w:rsidR="00FB1FD1" w:rsidRDefault="00B33AAB" w:rsidP="009675A4">
            <w:pPr>
              <w:pStyle w:val="Listenabsatz"/>
              <w:ind w:left="0"/>
            </w:pPr>
            <w:r w:rsidRPr="00B33AAB">
              <w:t>Hint</w:t>
            </w:r>
          </w:p>
        </w:tc>
      </w:tr>
      <w:tr w:rsidR="00FB1FD1" w:rsidRPr="00632DEB" w:rsidTr="00FB1FD1">
        <w:tc>
          <w:tcPr>
            <w:tcW w:w="5000" w:type="pct"/>
            <w:shd w:val="clear" w:color="auto" w:fill="DBE5F1" w:themeFill="accent1" w:themeFillTint="33"/>
          </w:tcPr>
          <w:p w:rsidR="00FB1FD1" w:rsidRPr="00B33AAB" w:rsidRDefault="00B33AAB" w:rsidP="009675A4">
            <w:pPr>
              <w:pStyle w:val="Listenabsatz"/>
              <w:ind w:left="0"/>
              <w:rPr>
                <w:lang w:val="en-US"/>
              </w:rPr>
            </w:pPr>
            <w:r w:rsidRPr="00B33AAB">
              <w:rPr>
                <w:lang w:val="en-US"/>
              </w:rPr>
              <w:t>An underscore between the individual components of the file names reduces the number of characters recognized by the PC enormously and thus allows longer names.</w:t>
            </w:r>
          </w:p>
        </w:tc>
      </w:tr>
    </w:tbl>
    <w:p w:rsidR="009675A4" w:rsidRPr="00B33AAB" w:rsidRDefault="009675A4" w:rsidP="009675A4">
      <w:pPr>
        <w:pStyle w:val="Listenabsatz"/>
        <w:rPr>
          <w:lang w:val="en-US"/>
        </w:rPr>
      </w:pPr>
    </w:p>
    <w:p w:rsidR="00112F84" w:rsidRPr="00B33AAB" w:rsidRDefault="00B33AAB" w:rsidP="00632DEB">
      <w:pPr>
        <w:pStyle w:val="berschrift2"/>
        <w:numPr>
          <w:ilvl w:val="1"/>
          <w:numId w:val="50"/>
        </w:numPr>
        <w:rPr>
          <w:lang w:val="en-US"/>
        </w:rPr>
      </w:pPr>
      <w:bookmarkStart w:id="4" w:name="_Toc47933891"/>
      <w:r w:rsidRPr="00B33AAB">
        <w:rPr>
          <w:lang w:val="en-US"/>
        </w:rPr>
        <w:t>Structure of a product file</w:t>
      </w:r>
      <w:bookmarkEnd w:id="4"/>
    </w:p>
    <w:p w:rsidR="00B33AAB" w:rsidRPr="00B33AAB" w:rsidRDefault="00B33AAB" w:rsidP="00B33AAB">
      <w:pPr>
        <w:ind w:left="360"/>
        <w:rPr>
          <w:lang w:val="en-US"/>
        </w:rPr>
      </w:pPr>
      <w:r w:rsidRPr="00B33AAB">
        <w:rPr>
          <w:lang w:val="en-US"/>
        </w:rPr>
        <w:t>For the conformity assessment of a medical device under the MDR not only the components of Annex II are required. Annex I of the starter kit II gives as complete an overview as possible of the expected contents of the technical documentation, a structural overview is provided by the diagram below.</w:t>
      </w:r>
    </w:p>
    <w:p w:rsidR="000651EE" w:rsidRDefault="00B33AAB" w:rsidP="00B33AAB">
      <w:pPr>
        <w:ind w:left="360"/>
        <w:rPr>
          <w:lang w:val="en-US"/>
        </w:rPr>
      </w:pPr>
      <w:r w:rsidRPr="00B33AAB">
        <w:rPr>
          <w:lang w:val="en-US"/>
        </w:rPr>
        <w:t>It makes sense to start a technical documentation with the section "Product description and specifications, including variants and accessories" and to make this section as comprehensive and comprehensible as possible.</w:t>
      </w:r>
    </w:p>
    <w:p w:rsidR="00B33AAB" w:rsidRPr="00B33AAB" w:rsidRDefault="00B33AAB" w:rsidP="00B33AAB">
      <w:pPr>
        <w:ind w:left="360"/>
        <w:rPr>
          <w:lang w:val="en-US"/>
        </w:rPr>
      </w:pPr>
    </w:p>
    <w:tbl>
      <w:tblPr>
        <w:tblStyle w:val="Tabellenraster"/>
        <w:tblW w:w="5000" w:type="pct"/>
        <w:tblInd w:w="0" w:type="dxa"/>
        <w:tblLook w:val="04A0" w:firstRow="1" w:lastRow="0" w:firstColumn="1" w:lastColumn="0" w:noHBand="0" w:noVBand="1"/>
      </w:tblPr>
      <w:tblGrid>
        <w:gridCol w:w="9062"/>
      </w:tblGrid>
      <w:tr w:rsidR="00287BF2" w:rsidRPr="00632DEB" w:rsidTr="00C2418D">
        <w:tc>
          <w:tcPr>
            <w:tcW w:w="5000" w:type="pct"/>
            <w:shd w:val="clear" w:color="auto" w:fill="B8CCE4" w:themeFill="accent1" w:themeFillTint="66"/>
          </w:tcPr>
          <w:p w:rsidR="00287BF2" w:rsidRPr="008E0F07" w:rsidRDefault="00B33AAB" w:rsidP="008E0F07">
            <w:pPr>
              <w:ind w:left="360"/>
              <w:jc w:val="center"/>
              <w:rPr>
                <w:b/>
                <w:sz w:val="22"/>
                <w:lang w:val="en-US"/>
              </w:rPr>
            </w:pPr>
            <w:r w:rsidRPr="008E0F07">
              <w:rPr>
                <w:b/>
                <w:sz w:val="22"/>
                <w:lang w:val="en-US"/>
              </w:rPr>
              <w:t>The devil is in the details</w:t>
            </w:r>
          </w:p>
        </w:tc>
      </w:tr>
      <w:tr w:rsidR="00287BF2" w:rsidRPr="00632DEB" w:rsidTr="00C2418D">
        <w:tc>
          <w:tcPr>
            <w:tcW w:w="5000" w:type="pct"/>
            <w:shd w:val="clear" w:color="auto" w:fill="DBE5F1" w:themeFill="accent1" w:themeFillTint="33"/>
          </w:tcPr>
          <w:p w:rsidR="00B33AAB" w:rsidRPr="008E0F07" w:rsidRDefault="008E0F07" w:rsidP="00B33AAB">
            <w:pPr>
              <w:pStyle w:val="Listenabsatz"/>
              <w:numPr>
                <w:ilvl w:val="0"/>
                <w:numId w:val="17"/>
              </w:numPr>
              <w:rPr>
                <w:lang w:val="en-US"/>
              </w:rPr>
            </w:pPr>
            <w:r w:rsidRPr="008E0F07">
              <w:rPr>
                <w:u w:val="single"/>
                <w:lang w:val="en-US"/>
              </w:rPr>
              <w:t>T</w:t>
            </w:r>
            <w:r w:rsidR="00B33AAB" w:rsidRPr="008E0F07">
              <w:rPr>
                <w:u w:val="single"/>
                <w:lang w:val="en-US"/>
              </w:rPr>
              <w:t>echnical documentation on post-market surveillance:</w:t>
            </w:r>
            <w:r w:rsidR="00B33AAB" w:rsidRPr="008E0F07">
              <w:rPr>
                <w:lang w:val="en-US"/>
              </w:rPr>
              <w:t xml:space="preserve"> The manufacturer is obliged to submit this documentation according to </w:t>
            </w:r>
            <w:r w:rsidR="00B33AAB" w:rsidRPr="008E0F07">
              <w:rPr>
                <w:b/>
                <w:lang w:val="en-US"/>
              </w:rPr>
              <w:t>Annex III of the MDR</w:t>
            </w:r>
            <w:r w:rsidR="00B33AAB" w:rsidRPr="008E0F07">
              <w:rPr>
                <w:lang w:val="en-US"/>
              </w:rPr>
              <w:t xml:space="preserve"> together with the product file</w:t>
            </w:r>
          </w:p>
          <w:p w:rsidR="00B33AAB" w:rsidRPr="008E0F07" w:rsidRDefault="008E0F07" w:rsidP="00B33AAB">
            <w:pPr>
              <w:pStyle w:val="Listenabsatz"/>
              <w:numPr>
                <w:ilvl w:val="0"/>
                <w:numId w:val="17"/>
              </w:numPr>
              <w:rPr>
                <w:lang w:val="en-US"/>
              </w:rPr>
            </w:pPr>
            <w:r w:rsidRPr="008E0F07">
              <w:rPr>
                <w:u w:val="single"/>
                <w:lang w:val="en-US"/>
              </w:rPr>
              <w:t>P</w:t>
            </w:r>
            <w:r w:rsidR="00B33AAB" w:rsidRPr="008E0F07">
              <w:rPr>
                <w:u w:val="single"/>
                <w:lang w:val="en-US"/>
              </w:rPr>
              <w:t>roduct description and specification, including variants and accessories</w:t>
            </w:r>
            <w:r w:rsidR="00321387" w:rsidRPr="008E0F07">
              <w:rPr>
                <w:u w:val="single"/>
                <w:lang w:val="en-US"/>
              </w:rPr>
              <w:t>:</w:t>
            </w:r>
            <w:r w:rsidR="00B33AAB" w:rsidRPr="008E0F07">
              <w:rPr>
                <w:lang w:val="en-US"/>
              </w:rPr>
              <w:t xml:space="preserve"> This section should be at the beginning of each product file and is essenti</w:t>
            </w:r>
            <w:r w:rsidR="00321387" w:rsidRPr="008E0F07">
              <w:rPr>
                <w:lang w:val="en-US"/>
              </w:rPr>
              <w:t>al for understanding the device</w:t>
            </w:r>
            <w:r w:rsidR="00B33AAB" w:rsidRPr="008E0F07">
              <w:rPr>
                <w:lang w:val="en-US"/>
              </w:rPr>
              <w:t>. Therefore, a clear, easy to read and complete description is recommended (complete sentences, no stand-alone "link collection" of annexes).</w:t>
            </w:r>
          </w:p>
          <w:p w:rsidR="00B33AAB" w:rsidRPr="008E0F07" w:rsidRDefault="008E0F07" w:rsidP="00B33AAB">
            <w:pPr>
              <w:pStyle w:val="Listenabsatz"/>
              <w:numPr>
                <w:ilvl w:val="0"/>
                <w:numId w:val="17"/>
              </w:numPr>
              <w:rPr>
                <w:lang w:val="en-US"/>
              </w:rPr>
            </w:pPr>
            <w:r w:rsidRPr="008E0F07">
              <w:rPr>
                <w:u w:val="single"/>
                <w:lang w:val="en-US"/>
              </w:rPr>
              <w:t>A</w:t>
            </w:r>
            <w:r w:rsidR="00B33AAB" w:rsidRPr="008E0F07">
              <w:rPr>
                <w:u w:val="single"/>
                <w:lang w:val="en-US"/>
              </w:rPr>
              <w:t>ccessories:</w:t>
            </w:r>
            <w:r w:rsidR="00B33AAB" w:rsidRPr="008E0F07">
              <w:rPr>
                <w:lang w:val="en-US"/>
              </w:rPr>
              <w:t xml:space="preserve"> accessories are not limited to those supplied with the device, but also include those accessories that are generally used with the device to fulfil its intended purpose.</w:t>
            </w:r>
          </w:p>
          <w:p w:rsidR="00B33AAB" w:rsidRPr="008E0F07" w:rsidRDefault="008E0F07" w:rsidP="00B33AAB">
            <w:pPr>
              <w:pStyle w:val="Listenabsatz"/>
              <w:numPr>
                <w:ilvl w:val="0"/>
                <w:numId w:val="17"/>
              </w:numPr>
              <w:rPr>
                <w:lang w:val="en-US"/>
              </w:rPr>
            </w:pPr>
            <w:r w:rsidRPr="008E0F07">
              <w:rPr>
                <w:u w:val="single"/>
                <w:lang w:val="en-US"/>
              </w:rPr>
              <w:t>T</w:t>
            </w:r>
            <w:r w:rsidR="00B33AAB" w:rsidRPr="008E0F07">
              <w:rPr>
                <w:u w:val="single"/>
                <w:lang w:val="en-US"/>
              </w:rPr>
              <w:t>ranslations:</w:t>
            </w:r>
            <w:r w:rsidR="00B33AAB" w:rsidRPr="008E0F07">
              <w:rPr>
                <w:lang w:val="en-US"/>
              </w:rPr>
              <w:t xml:space="preserve"> Labels and instructions for use must be provided in the languages accepted by the countries where the device is to be sold.</w:t>
            </w:r>
          </w:p>
          <w:p w:rsidR="00B33AAB" w:rsidRPr="008E0F07" w:rsidRDefault="00B33AAB" w:rsidP="00B33AAB">
            <w:pPr>
              <w:pStyle w:val="Listenabsatz"/>
              <w:numPr>
                <w:ilvl w:val="0"/>
                <w:numId w:val="17"/>
              </w:numPr>
              <w:rPr>
                <w:lang w:val="en-US"/>
              </w:rPr>
            </w:pPr>
            <w:r w:rsidRPr="008E0F07">
              <w:rPr>
                <w:u w:val="single"/>
                <w:lang w:val="en-US"/>
              </w:rPr>
              <w:t>Information on design and manufacture:</w:t>
            </w:r>
            <w:r w:rsidRPr="008E0F07">
              <w:rPr>
                <w:lang w:val="en-US"/>
              </w:rPr>
              <w:t xml:space="preserve"> the manufacturer must provide information enabling the design stages applied to the device to be understood and comprehended. </w:t>
            </w:r>
            <w:r w:rsidR="00321387" w:rsidRPr="008E0F07">
              <w:rPr>
                <w:lang w:val="en-US"/>
              </w:rPr>
              <w:t>Solely s</w:t>
            </w:r>
            <w:r w:rsidRPr="008E0F07">
              <w:rPr>
                <w:lang w:val="en-US"/>
              </w:rPr>
              <w:t>u</w:t>
            </w:r>
            <w:r w:rsidR="00321387" w:rsidRPr="008E0F07">
              <w:rPr>
                <w:lang w:val="en-US"/>
              </w:rPr>
              <w:t>bmitting SOPs is not enough</w:t>
            </w:r>
            <w:r w:rsidRPr="008E0F07">
              <w:rPr>
                <w:lang w:val="en-US"/>
              </w:rPr>
              <w:t>!</w:t>
            </w:r>
          </w:p>
          <w:p w:rsidR="00B33AAB" w:rsidRPr="008E0F07" w:rsidRDefault="008E0F07" w:rsidP="00B33AAB">
            <w:pPr>
              <w:pStyle w:val="Listenabsatz"/>
              <w:numPr>
                <w:ilvl w:val="0"/>
                <w:numId w:val="17"/>
              </w:numPr>
              <w:rPr>
                <w:lang w:val="en-US"/>
              </w:rPr>
            </w:pPr>
            <w:r w:rsidRPr="008E0F07">
              <w:rPr>
                <w:u w:val="single"/>
                <w:lang w:val="en-US"/>
              </w:rPr>
              <w:t>P</w:t>
            </w:r>
            <w:r w:rsidR="00B33AAB" w:rsidRPr="008E0F07">
              <w:rPr>
                <w:u w:val="single"/>
                <w:lang w:val="en-US"/>
              </w:rPr>
              <w:t>rovision of complete data and information:</w:t>
            </w:r>
            <w:r w:rsidR="00B33AAB" w:rsidRPr="008E0F07">
              <w:rPr>
                <w:lang w:val="en-US"/>
              </w:rPr>
              <w:t xml:space="preserve"> of product specifications, including manufacturing processes and their validation, their auxiliary materials, continuous monitoring and final product testing.</w:t>
            </w:r>
          </w:p>
          <w:p w:rsidR="00B33AAB" w:rsidRPr="008E0F07" w:rsidRDefault="008E0F07" w:rsidP="00B33AAB">
            <w:pPr>
              <w:pStyle w:val="Listenabsatz"/>
              <w:numPr>
                <w:ilvl w:val="0"/>
                <w:numId w:val="17"/>
              </w:numPr>
              <w:rPr>
                <w:lang w:val="en-US"/>
              </w:rPr>
            </w:pPr>
            <w:r w:rsidRPr="008E0F07">
              <w:rPr>
                <w:u w:val="single"/>
                <w:lang w:val="en-US"/>
              </w:rPr>
              <w:t>S</w:t>
            </w:r>
            <w:r w:rsidR="00B33AAB" w:rsidRPr="008E0F07">
              <w:rPr>
                <w:u w:val="single"/>
                <w:lang w:val="en-US"/>
              </w:rPr>
              <w:t>uppliers and subcontractors:</w:t>
            </w:r>
            <w:r w:rsidR="00B33AAB" w:rsidRPr="008E0F07">
              <w:rPr>
                <w:lang w:val="en-US"/>
              </w:rPr>
              <w:t xml:space="preserve"> identification and provision of information on all sites where design and manufacturing activities are carried out, including suppliers and their subcontractors.</w:t>
            </w:r>
          </w:p>
          <w:p w:rsidR="00287BF2" w:rsidRPr="008E0F07" w:rsidRDefault="008E0F07" w:rsidP="00B33AAB">
            <w:pPr>
              <w:pStyle w:val="Listenabsatz"/>
              <w:numPr>
                <w:ilvl w:val="0"/>
                <w:numId w:val="17"/>
              </w:numPr>
              <w:rPr>
                <w:lang w:val="en-US"/>
              </w:rPr>
            </w:pPr>
            <w:r w:rsidRPr="008E0F07">
              <w:rPr>
                <w:u w:val="single"/>
                <w:lang w:val="en-US"/>
              </w:rPr>
              <w:t>P</w:t>
            </w:r>
            <w:r w:rsidR="00B33AAB" w:rsidRPr="008E0F07">
              <w:rPr>
                <w:u w:val="single"/>
                <w:lang w:val="en-US"/>
              </w:rPr>
              <w:t>roduct verification and validation:</w:t>
            </w:r>
            <w:r w:rsidR="00B33AAB" w:rsidRPr="008E0F07">
              <w:rPr>
                <w:lang w:val="en-US"/>
              </w:rPr>
              <w:t xml:space="preserve"> Here the MDR requires not only a list or table of all tests performed, but also a critical analysis of all verifications and validations / studies to demonstrate compliance with the requirements of the MDR</w:t>
            </w:r>
          </w:p>
        </w:tc>
      </w:tr>
    </w:tbl>
    <w:p w:rsidR="00287BF2" w:rsidRPr="00B33AAB" w:rsidRDefault="00287BF2" w:rsidP="000651EE">
      <w:pPr>
        <w:ind w:left="360"/>
        <w:rPr>
          <w:lang w:val="en-US"/>
        </w:rPr>
      </w:pPr>
    </w:p>
    <w:p w:rsidR="000651EE" w:rsidRPr="00B33AAB" w:rsidRDefault="000651EE" w:rsidP="000651EE">
      <w:pPr>
        <w:ind w:left="360"/>
        <w:rPr>
          <w:lang w:val="en-US"/>
        </w:rPr>
      </w:pPr>
    </w:p>
    <w:p w:rsidR="000651EE" w:rsidRPr="00B33AAB" w:rsidRDefault="000651EE" w:rsidP="000651EE">
      <w:pPr>
        <w:ind w:left="360"/>
        <w:rPr>
          <w:lang w:val="en-US"/>
        </w:rPr>
        <w:sectPr w:rsidR="000651EE" w:rsidRPr="00B33AAB">
          <w:footerReference w:type="default" r:id="rId8"/>
          <w:pgSz w:w="11906" w:h="16838"/>
          <w:pgMar w:top="1417" w:right="1417" w:bottom="1134" w:left="1417" w:header="708" w:footer="708" w:gutter="0"/>
          <w:cols w:space="708"/>
          <w:docGrid w:linePitch="360"/>
        </w:sectPr>
      </w:pPr>
    </w:p>
    <w:p w:rsidR="00090D07" w:rsidRPr="00B33AAB" w:rsidRDefault="00090D07" w:rsidP="00090D07">
      <w:pPr>
        <w:ind w:left="360"/>
        <w:rPr>
          <w:noProof/>
          <w:lang w:val="en-US" w:eastAsia="de-DE"/>
        </w:rPr>
        <w:sectPr w:rsidR="00090D07" w:rsidRPr="00B33AAB" w:rsidSect="001D40B8">
          <w:pgSz w:w="16838" w:h="11906" w:orient="landscape"/>
          <w:pgMar w:top="1417" w:right="1417" w:bottom="1417" w:left="1134" w:header="708" w:footer="708" w:gutter="0"/>
          <w:cols w:space="708"/>
          <w:docGrid w:linePitch="360"/>
        </w:sectPr>
      </w:pPr>
      <w:r>
        <w:rPr>
          <w:noProof/>
          <w:lang w:eastAsia="de-DE"/>
        </w:rPr>
        <w:drawing>
          <wp:anchor distT="0" distB="0" distL="114300" distR="114300" simplePos="0" relativeHeight="251662336" behindDoc="0" locked="0" layoutInCell="1" allowOverlap="1" wp14:anchorId="1496BD75" wp14:editId="75EEEE31">
            <wp:simplePos x="0" y="0"/>
            <wp:positionH relativeFrom="margin">
              <wp:posOffset>0</wp:posOffset>
            </wp:positionH>
            <wp:positionV relativeFrom="paragraph">
              <wp:posOffset>305435</wp:posOffset>
            </wp:positionV>
            <wp:extent cx="8837295" cy="5184140"/>
            <wp:effectExtent l="0" t="0" r="20955" b="16510"/>
            <wp:wrapSquare wrapText="bothSides"/>
            <wp:docPr id="1"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margin">
              <wp14:pctWidth>0</wp14:pctWidth>
            </wp14:sizeRelH>
            <wp14:sizeRelV relativeFrom="margin">
              <wp14:pctHeight>0</wp14:pctHeight>
            </wp14:sizeRelV>
          </wp:anchor>
        </w:drawing>
      </w:r>
      <w:r w:rsidR="00670808">
        <w:rPr>
          <w:noProof/>
          <w:lang w:eastAsia="de-DE"/>
        </w:rPr>
        <mc:AlternateContent>
          <mc:Choice Requires="wps">
            <w:drawing>
              <wp:anchor distT="0" distB="0" distL="114300" distR="114300" simplePos="0" relativeHeight="251660288" behindDoc="0" locked="0" layoutInCell="1" allowOverlap="1" wp14:anchorId="40316965" wp14:editId="42A51F22">
                <wp:simplePos x="0" y="0"/>
                <wp:positionH relativeFrom="column">
                  <wp:posOffset>55</wp:posOffset>
                </wp:positionH>
                <wp:positionV relativeFrom="paragraph">
                  <wp:posOffset>580</wp:posOffset>
                </wp:positionV>
                <wp:extent cx="8837295" cy="635"/>
                <wp:effectExtent l="0" t="0" r="0" b="0"/>
                <wp:wrapSquare wrapText="bothSides"/>
                <wp:docPr id="2" name="Textfeld 2"/>
                <wp:cNvGraphicFramePr/>
                <a:graphic xmlns:a="http://schemas.openxmlformats.org/drawingml/2006/main">
                  <a:graphicData uri="http://schemas.microsoft.com/office/word/2010/wordprocessingShape">
                    <wps:wsp>
                      <wps:cNvSpPr txBox="1"/>
                      <wps:spPr>
                        <a:xfrm>
                          <a:off x="0" y="0"/>
                          <a:ext cx="8837295" cy="635"/>
                        </a:xfrm>
                        <a:prstGeom prst="rect">
                          <a:avLst/>
                        </a:prstGeom>
                        <a:solidFill>
                          <a:prstClr val="white"/>
                        </a:solidFill>
                        <a:ln>
                          <a:noFill/>
                        </a:ln>
                      </wps:spPr>
                      <wps:txbx>
                        <w:txbxContent>
                          <w:p w:rsidR="00C358C1" w:rsidRPr="00632DEB" w:rsidRDefault="00632DEB" w:rsidP="00A157EB">
                            <w:pPr>
                              <w:pStyle w:val="Beschriftung"/>
                              <w:rPr>
                                <w:noProof/>
                                <w:sz w:val="20"/>
                                <w:szCs w:val="20"/>
                                <w:lang w:val="en-GB"/>
                              </w:rPr>
                            </w:pPr>
                            <w:r w:rsidRPr="00632DEB">
                              <w:rPr>
                                <w:lang w:val="en-GB"/>
                              </w:rPr>
                              <w:t>Picture 1</w:t>
                            </w:r>
                            <w:r w:rsidR="00C358C1" w:rsidRPr="00632DEB">
                              <w:rPr>
                                <w:lang w:val="en-GB"/>
                              </w:rPr>
                              <w:t xml:space="preserve">: </w:t>
                            </w:r>
                            <w:r w:rsidRPr="00632DEB">
                              <w:rPr>
                                <w:lang w:val="en-GB"/>
                              </w:rPr>
                              <w:t xml:space="preserve">Fundamental Structure of a Technical File </w:t>
                            </w:r>
                            <w:r w:rsidR="00670808" w:rsidRPr="00632DEB">
                              <w:rPr>
                                <w:lang w:val="en-GB"/>
                              </w:rPr>
                              <w:t>un</w:t>
                            </w:r>
                            <w:r w:rsidRPr="00632DEB">
                              <w:rPr>
                                <w:lang w:val="en-GB"/>
                              </w:rPr>
                              <w:t>d</w:t>
                            </w:r>
                            <w:r w:rsidR="00670808" w:rsidRPr="00632DEB">
                              <w:rPr>
                                <w:lang w:val="en-GB"/>
                              </w:rPr>
                              <w:t>er MDR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0316965" id="_x0000_t202" coordsize="21600,21600" o:spt="202" path="m,l,21600r21600,l21600,xe">
                <v:stroke joinstyle="miter"/>
                <v:path gradientshapeok="t" o:connecttype="rect"/>
              </v:shapetype>
              <v:shape id="Textfeld 2" o:spid="_x0000_s1026" type="#_x0000_t202" style="position:absolute;left:0;text-align:left;margin-left:0;margin-top:.05pt;width:695.8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" stroked="f">
                <v:textbox style="mso-fit-shape-to-text:t" inset="0,0,0,0">
                  <w:txbxContent>
                    <w:p w:rsidR="00C358C1" w:rsidRPr="00632DEB" w:rsidRDefault="00632DEB" w:rsidP="00A157EB">
                      <w:pPr>
                        <w:pStyle w:val="Beschriftung"/>
                        <w:rPr>
                          <w:noProof/>
                          <w:sz w:val="20"/>
                          <w:szCs w:val="20"/>
                          <w:lang w:val="en-GB"/>
                        </w:rPr>
                      </w:pPr>
                      <w:r w:rsidRPr="00632DEB">
                        <w:rPr>
                          <w:lang w:val="en-GB"/>
                        </w:rPr>
                        <w:t>Picture 1</w:t>
                      </w:r>
                      <w:r w:rsidR="00C358C1" w:rsidRPr="00632DEB">
                        <w:rPr>
                          <w:lang w:val="en-GB"/>
                        </w:rPr>
                        <w:t xml:space="preserve">: </w:t>
                      </w:r>
                      <w:r w:rsidRPr="00632DEB">
                        <w:rPr>
                          <w:lang w:val="en-GB"/>
                        </w:rPr>
                        <w:t xml:space="preserve">Fundamental Structure of a Technical File </w:t>
                      </w:r>
                      <w:r w:rsidR="00670808" w:rsidRPr="00632DEB">
                        <w:rPr>
                          <w:lang w:val="en-GB"/>
                        </w:rPr>
                        <w:t>un</w:t>
                      </w:r>
                      <w:r w:rsidRPr="00632DEB">
                        <w:rPr>
                          <w:lang w:val="en-GB"/>
                        </w:rPr>
                        <w:t>d</w:t>
                      </w:r>
                      <w:r w:rsidR="00670808" w:rsidRPr="00632DEB">
                        <w:rPr>
                          <w:lang w:val="en-GB"/>
                        </w:rPr>
                        <w:t>er MDR</w:t>
                      </w:r>
                    </w:p>
                  </w:txbxContent>
                </v:textbox>
                <w10:wrap type="square"/>
              </v:shape>
            </w:pict>
          </mc:Fallback>
        </mc:AlternateContent>
      </w:r>
      <w:r w:rsidRPr="00B33AAB">
        <w:rPr>
          <w:noProof/>
          <w:lang w:val="en-US" w:eastAsia="de-DE"/>
        </w:rPr>
        <w:br w:type="page"/>
      </w:r>
    </w:p>
    <w:p w:rsidR="005070F5" w:rsidRPr="00B33AAB" w:rsidRDefault="005070F5" w:rsidP="005752D4">
      <w:pPr>
        <w:ind w:left="360"/>
        <w:rPr>
          <w:u w:val="single"/>
          <w:lang w:val="en-US"/>
        </w:rPr>
      </w:pPr>
    </w:p>
    <w:tbl>
      <w:tblPr>
        <w:tblStyle w:val="Tabellenraster"/>
        <w:tblW w:w="0" w:type="auto"/>
        <w:tblInd w:w="360" w:type="dxa"/>
        <w:tblLook w:val="04A0" w:firstRow="1" w:lastRow="0" w:firstColumn="1" w:lastColumn="0" w:noHBand="0" w:noVBand="1"/>
      </w:tblPr>
      <w:tblGrid>
        <w:gridCol w:w="8702"/>
      </w:tblGrid>
      <w:tr w:rsidR="00C2418D" w:rsidTr="00C2418D">
        <w:tc>
          <w:tcPr>
            <w:tcW w:w="14277" w:type="dxa"/>
            <w:shd w:val="clear" w:color="auto" w:fill="B8CCE4" w:themeFill="accent1" w:themeFillTint="66"/>
          </w:tcPr>
          <w:p w:rsidR="00C2418D" w:rsidRPr="00090D07" w:rsidRDefault="00B823E8" w:rsidP="00C2418D">
            <w:pPr>
              <w:ind w:left="360"/>
              <w:rPr>
                <w:b/>
                <w:u w:val="single"/>
              </w:rPr>
            </w:pPr>
            <w:r w:rsidRPr="00B823E8">
              <w:rPr>
                <w:b/>
                <w:u w:val="single"/>
              </w:rPr>
              <w:t>Please consider:</w:t>
            </w:r>
          </w:p>
        </w:tc>
      </w:tr>
      <w:tr w:rsidR="00C2418D" w:rsidRPr="00632DEB" w:rsidTr="00C2418D">
        <w:tc>
          <w:tcPr>
            <w:tcW w:w="14277" w:type="dxa"/>
            <w:shd w:val="clear" w:color="auto" w:fill="DBE5F1" w:themeFill="accent1" w:themeFillTint="33"/>
          </w:tcPr>
          <w:p w:rsidR="00B823E8" w:rsidRPr="00B823E8" w:rsidRDefault="00B823E8" w:rsidP="00B823E8">
            <w:pPr>
              <w:pStyle w:val="Listenabsatz"/>
              <w:numPr>
                <w:ilvl w:val="0"/>
                <w:numId w:val="16"/>
              </w:numPr>
              <w:rPr>
                <w:lang w:val="en-US"/>
              </w:rPr>
            </w:pPr>
            <w:r w:rsidRPr="00B823E8">
              <w:rPr>
                <w:lang w:val="en-US"/>
              </w:rPr>
              <w:t>It is very important to us to carry out the conformity assessment processes as quickly and cost-effectively as possible. We therefore ask you to follow the guidelines, as non-compliance can cause significant delays and additional costs during the review.</w:t>
            </w:r>
          </w:p>
          <w:p w:rsidR="00C2418D" w:rsidRPr="00B823E8" w:rsidRDefault="00B823E8" w:rsidP="00B823E8">
            <w:pPr>
              <w:pStyle w:val="Listenabsatz"/>
              <w:numPr>
                <w:ilvl w:val="0"/>
                <w:numId w:val="16"/>
              </w:numPr>
              <w:rPr>
                <w:lang w:val="en-US"/>
              </w:rPr>
            </w:pPr>
            <w:r w:rsidRPr="00B823E8">
              <w:rPr>
                <w:lang w:val="en-US"/>
              </w:rPr>
              <w:t>As we as a Notified Body under the MDR only have a total of 3 review</w:t>
            </w:r>
            <w:r>
              <w:rPr>
                <w:lang w:val="en-US"/>
              </w:rPr>
              <w:t xml:space="preserve"> loops available to us before the application </w:t>
            </w:r>
            <w:r w:rsidRPr="00B823E8">
              <w:rPr>
                <w:lang w:val="en-US"/>
              </w:rPr>
              <w:t>process has to be restarted, it would be unfortunate to use up one of these loops just because of missing or incomprehensible documents.</w:t>
            </w:r>
          </w:p>
        </w:tc>
      </w:tr>
    </w:tbl>
    <w:p w:rsidR="00DF6553" w:rsidRPr="00B823E8" w:rsidRDefault="00DF6553" w:rsidP="005752D4">
      <w:pPr>
        <w:ind w:left="360"/>
        <w:rPr>
          <w:lang w:val="en-US"/>
        </w:rPr>
      </w:pPr>
    </w:p>
    <w:p w:rsidR="00DF6553" w:rsidRPr="004C6529" w:rsidRDefault="00FD0C85" w:rsidP="00632DEB">
      <w:pPr>
        <w:pStyle w:val="berschrift1"/>
        <w:numPr>
          <w:ilvl w:val="0"/>
          <w:numId w:val="50"/>
        </w:numPr>
      </w:pPr>
      <w:bookmarkStart w:id="5" w:name="_Toc47933892"/>
      <w:r>
        <w:rPr>
          <w:rStyle w:val="Funotenzeichen"/>
          <w:b w:val="0"/>
        </w:rPr>
        <w:footnoteReference w:id="1"/>
      </w:r>
      <w:r w:rsidR="00B823E8">
        <w:t>Annexes</w:t>
      </w:r>
      <w:r w:rsidR="00DF6553" w:rsidRPr="004C6529">
        <w:t>:</w:t>
      </w:r>
      <w:bookmarkEnd w:id="5"/>
    </w:p>
    <w:p w:rsidR="00B823E8" w:rsidRPr="00570EB3" w:rsidRDefault="00B823E8" w:rsidP="00B823E8">
      <w:pPr>
        <w:pStyle w:val="Listenabsatz"/>
        <w:numPr>
          <w:ilvl w:val="0"/>
          <w:numId w:val="46"/>
        </w:numPr>
        <w:rPr>
          <w:lang w:val="en-US"/>
        </w:rPr>
      </w:pPr>
      <w:r w:rsidRPr="00570EB3">
        <w:rPr>
          <w:lang w:val="en-US"/>
        </w:rPr>
        <w:t xml:space="preserve">Annex I provides you with a checklist against which you can check the completeness of the </w:t>
      </w:r>
      <w:r w:rsidR="00570EB3">
        <w:rPr>
          <w:lang w:val="en-US"/>
        </w:rPr>
        <w:t xml:space="preserve">technical documentation submission. </w:t>
      </w:r>
      <w:r w:rsidRPr="00570EB3">
        <w:rPr>
          <w:lang w:val="en-US"/>
        </w:rPr>
        <w:t xml:space="preserve">It also provides information on the contents to be submitted (with reference to Annexes II and III of the MDR) without claiming completeness and accuracy for a specific medical device. </w:t>
      </w:r>
    </w:p>
    <w:p w:rsidR="00B823E8" w:rsidRPr="00570EB3" w:rsidRDefault="00B823E8" w:rsidP="00570EB3">
      <w:pPr>
        <w:pStyle w:val="Listenabsatz"/>
        <w:ind w:left="1080"/>
        <w:rPr>
          <w:lang w:val="en-US"/>
        </w:rPr>
      </w:pPr>
      <w:r w:rsidRPr="00570EB3">
        <w:rPr>
          <w:lang w:val="en-US"/>
        </w:rPr>
        <w:t>It can be used as part of the application documents to demonstrate compliance with the MDR requirements</w:t>
      </w:r>
    </w:p>
    <w:p w:rsidR="000E177B" w:rsidRPr="00570EB3" w:rsidRDefault="00B823E8" w:rsidP="00B823E8">
      <w:pPr>
        <w:pStyle w:val="Listenabsatz"/>
        <w:numPr>
          <w:ilvl w:val="0"/>
          <w:numId w:val="46"/>
        </w:numPr>
        <w:rPr>
          <w:lang w:val="en-US"/>
        </w:rPr>
      </w:pPr>
      <w:r w:rsidRPr="00570EB3">
        <w:rPr>
          <w:lang w:val="en-US"/>
        </w:rPr>
        <w:t>Annex II contains a checklist for the essential safety and performance requirements o</w:t>
      </w:r>
      <w:r w:rsidR="00570EB3">
        <w:rPr>
          <w:lang w:val="en-US"/>
        </w:rPr>
        <w:t xml:space="preserve">f </w:t>
      </w:r>
      <w:r w:rsidR="00570EB3" w:rsidRPr="00570EB3">
        <w:rPr>
          <w:b/>
          <w:lang w:val="en-US"/>
        </w:rPr>
        <w:t>Annex I,</w:t>
      </w:r>
      <w:r w:rsidR="00632DEB">
        <w:rPr>
          <w:b/>
          <w:lang w:val="en-US"/>
        </w:rPr>
        <w:t xml:space="preserve"> </w:t>
      </w:r>
      <w:r w:rsidRPr="00570EB3">
        <w:rPr>
          <w:b/>
          <w:lang w:val="en-US"/>
        </w:rPr>
        <w:t>MDR</w:t>
      </w:r>
      <w:r w:rsidRPr="00570EB3">
        <w:rPr>
          <w:lang w:val="en-US"/>
        </w:rPr>
        <w:t>. It may be used as part of the application documents to demonstrate proof of conformity with these requirements.</w:t>
      </w:r>
    </w:p>
    <w:sectPr w:rsidR="000E177B" w:rsidRPr="00570EB3" w:rsidSect="00090D0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B37" w:rsidRDefault="00CD2B37" w:rsidP="00CB624E">
      <w:r>
        <w:separator/>
      </w:r>
    </w:p>
  </w:endnote>
  <w:endnote w:type="continuationSeparator" w:id="0">
    <w:p w:rsidR="00CD2B37" w:rsidRDefault="00CD2B37" w:rsidP="00CB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725895"/>
      <w:docPartObj>
        <w:docPartGallery w:val="Page Numbers (Bottom of Page)"/>
        <w:docPartUnique/>
      </w:docPartObj>
    </w:sdtPr>
    <w:sdtEndPr/>
    <w:sdtContent>
      <w:p w:rsidR="00C358C1" w:rsidRDefault="00C358C1">
        <w:pPr>
          <w:pStyle w:val="Fuzeile"/>
          <w:jc w:val="right"/>
        </w:pPr>
        <w:r>
          <w:fldChar w:fldCharType="begin"/>
        </w:r>
        <w:r>
          <w:instrText>PAGE   \* MERGEFORMAT</w:instrText>
        </w:r>
        <w:r>
          <w:fldChar w:fldCharType="separate"/>
        </w:r>
        <w:r w:rsidR="006251DD">
          <w:rPr>
            <w:noProof/>
          </w:rPr>
          <w:t>1</w:t>
        </w:r>
        <w:r>
          <w:fldChar w:fldCharType="end"/>
        </w:r>
      </w:p>
    </w:sdtContent>
  </w:sdt>
  <w:p w:rsidR="00C358C1" w:rsidRDefault="00C358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B37" w:rsidRDefault="00CD2B37" w:rsidP="00CB624E">
      <w:r>
        <w:separator/>
      </w:r>
    </w:p>
  </w:footnote>
  <w:footnote w:type="continuationSeparator" w:id="0">
    <w:p w:rsidR="00CD2B37" w:rsidRDefault="00CD2B37" w:rsidP="00CB624E">
      <w:r>
        <w:continuationSeparator/>
      </w:r>
    </w:p>
  </w:footnote>
  <w:footnote w:id="1">
    <w:p w:rsidR="00C358C1" w:rsidRPr="00570EB3" w:rsidRDefault="00C358C1" w:rsidP="00FD0C85">
      <w:pPr>
        <w:ind w:left="360"/>
        <w:rPr>
          <w:sz w:val="14"/>
          <w:lang w:val="en-US"/>
        </w:rPr>
      </w:pPr>
      <w:r w:rsidRPr="00FD0C85">
        <w:rPr>
          <w:rStyle w:val="Funotenzeichen"/>
          <w:sz w:val="14"/>
        </w:rPr>
        <w:footnoteRef/>
      </w:r>
      <w:r w:rsidRPr="00570EB3">
        <w:rPr>
          <w:sz w:val="14"/>
          <w:lang w:val="en-US"/>
        </w:rPr>
        <w:t xml:space="preserve"> Disclaimer: </w:t>
      </w:r>
      <w:r w:rsidR="00570EB3" w:rsidRPr="00570EB3">
        <w:rPr>
          <w:sz w:val="14"/>
          <w:lang w:val="en-US"/>
        </w:rPr>
        <w:t>The checklists provided in the annexes are not part of the QMS of DQS Medizinprodukte GmbH and are to be understood purely as guidelines. They do not claim to be complete and correct. The documents can be freely used and modified.</w:t>
      </w:r>
    </w:p>
    <w:p w:rsidR="00C358C1" w:rsidRPr="00570EB3" w:rsidRDefault="00C358C1">
      <w:pPr>
        <w:pStyle w:val="Funoten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B2C84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1C9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B6D9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22CB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BAA3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46F2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8C39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FE3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2806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3480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527A5"/>
    <w:multiLevelType w:val="hybridMultilevel"/>
    <w:tmpl w:val="5FC8153E"/>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9DC04534">
      <w:start w:val="9"/>
      <w:numFmt w:val="bullet"/>
      <w:lvlText w:val="-"/>
      <w:lvlJc w:val="left"/>
      <w:pPr>
        <w:ind w:left="2160" w:hanging="180"/>
      </w:pPr>
      <w:rPr>
        <w:rFonts w:ascii="Times New Roman" w:hAnsi="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2B223BC"/>
    <w:multiLevelType w:val="hybridMultilevel"/>
    <w:tmpl w:val="7EEEF4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34141D"/>
    <w:multiLevelType w:val="hybridMultilevel"/>
    <w:tmpl w:val="AF64333C"/>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E55971"/>
    <w:multiLevelType w:val="hybridMultilevel"/>
    <w:tmpl w:val="FDEAAD24"/>
    <w:lvl w:ilvl="0" w:tplc="0407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6B073A"/>
    <w:multiLevelType w:val="hybridMultilevel"/>
    <w:tmpl w:val="B1048340"/>
    <w:lvl w:ilvl="0" w:tplc="04070019">
      <w:start w:val="1"/>
      <w:numFmt w:val="lowerLetter"/>
      <w:lvlText w:val="%1."/>
      <w:lvlJc w:val="left"/>
      <w:pPr>
        <w:ind w:left="720" w:hanging="360"/>
      </w:pPr>
    </w:lvl>
    <w:lvl w:ilvl="1" w:tplc="B94664BC">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687D56"/>
    <w:multiLevelType w:val="hybridMultilevel"/>
    <w:tmpl w:val="418E43B6"/>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59F2ED8"/>
    <w:multiLevelType w:val="hybridMultilevel"/>
    <w:tmpl w:val="9CC01E3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16590779"/>
    <w:multiLevelType w:val="hybridMultilevel"/>
    <w:tmpl w:val="CAA0F858"/>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79018C6"/>
    <w:multiLevelType w:val="hybridMultilevel"/>
    <w:tmpl w:val="149860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7F967FA"/>
    <w:multiLevelType w:val="hybridMultilevel"/>
    <w:tmpl w:val="764EE97A"/>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407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D613BF1"/>
    <w:multiLevelType w:val="hybridMultilevel"/>
    <w:tmpl w:val="A80C897C"/>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9DC04534">
      <w:start w:val="9"/>
      <w:numFmt w:val="bullet"/>
      <w:lvlText w:val="-"/>
      <w:lvlJc w:val="left"/>
      <w:pPr>
        <w:ind w:left="2160" w:hanging="180"/>
      </w:pPr>
      <w:rPr>
        <w:rFonts w:ascii="Times New Roman" w:hAnsi="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DA877C9"/>
    <w:multiLevelType w:val="hybridMultilevel"/>
    <w:tmpl w:val="58ECDF00"/>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E8D4B56"/>
    <w:multiLevelType w:val="hybridMultilevel"/>
    <w:tmpl w:val="D8DE624E"/>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51C4C31"/>
    <w:multiLevelType w:val="hybridMultilevel"/>
    <w:tmpl w:val="719259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5B00A2F"/>
    <w:multiLevelType w:val="hybridMultilevel"/>
    <w:tmpl w:val="A2CAB586"/>
    <w:lvl w:ilvl="0" w:tplc="08090019">
      <w:start w:val="1"/>
      <w:numFmt w:val="lowerLetter"/>
      <w:lvlText w:val="%1."/>
      <w:lvlJc w:val="left"/>
      <w:pPr>
        <w:ind w:left="14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7CD60FE"/>
    <w:multiLevelType w:val="hybridMultilevel"/>
    <w:tmpl w:val="7CBCBF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A2424D0"/>
    <w:multiLevelType w:val="hybridMultilevel"/>
    <w:tmpl w:val="7B1AF9F8"/>
    <w:lvl w:ilvl="0" w:tplc="04070019">
      <w:start w:val="1"/>
      <w:numFmt w:val="lowerLetter"/>
      <w:lvlText w:val="%1."/>
      <w:lvlJc w:val="left"/>
      <w:pPr>
        <w:ind w:left="720" w:hanging="360"/>
      </w:pPr>
    </w:lvl>
    <w:lvl w:ilvl="1" w:tplc="548E417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1A651BF"/>
    <w:multiLevelType w:val="hybridMultilevel"/>
    <w:tmpl w:val="B41C2D1C"/>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9DC04534">
      <w:start w:val="9"/>
      <w:numFmt w:val="bullet"/>
      <w:lvlText w:val="-"/>
      <w:lvlJc w:val="left"/>
      <w:pPr>
        <w:ind w:left="2160" w:hanging="180"/>
      </w:pPr>
      <w:rPr>
        <w:rFonts w:ascii="Times New Roman" w:hAnsi="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0E3445"/>
    <w:multiLevelType w:val="hybridMultilevel"/>
    <w:tmpl w:val="131A547C"/>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7B785B"/>
    <w:multiLevelType w:val="hybridMultilevel"/>
    <w:tmpl w:val="2A0C6C64"/>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9DC04534">
      <w:start w:val="9"/>
      <w:numFmt w:val="bullet"/>
      <w:lvlText w:val="-"/>
      <w:lvlJc w:val="left"/>
      <w:pPr>
        <w:ind w:left="2160" w:hanging="360"/>
      </w:pPr>
      <w:rPr>
        <w:rFonts w:ascii="Times New Roman" w:hAnsi="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BD4DD6"/>
    <w:multiLevelType w:val="hybridMultilevel"/>
    <w:tmpl w:val="8F8A06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8B21D31"/>
    <w:multiLevelType w:val="hybridMultilevel"/>
    <w:tmpl w:val="F12AA28E"/>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CCE035B2">
      <w:start w:val="8"/>
      <w:numFmt w:val="bullet"/>
      <w:lvlText w:val="—"/>
      <w:lvlJc w:val="left"/>
      <w:pPr>
        <w:ind w:left="2340" w:hanging="360"/>
      </w:pPr>
      <w:rPr>
        <w:rFonts w:ascii="Arial" w:eastAsia="Times New Roman"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9225597"/>
    <w:multiLevelType w:val="hybridMultilevel"/>
    <w:tmpl w:val="72546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F791F13"/>
    <w:multiLevelType w:val="hybridMultilevel"/>
    <w:tmpl w:val="AD0C429E"/>
    <w:lvl w:ilvl="0" w:tplc="9DC04534">
      <w:start w:val="9"/>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9DC04534">
      <w:start w:val="9"/>
      <w:numFmt w:val="bullet"/>
      <w:lvlText w:val="-"/>
      <w:lvlJc w:val="left"/>
      <w:pPr>
        <w:ind w:left="2160" w:hanging="360"/>
      </w:pPr>
      <w:rPr>
        <w:rFonts w:ascii="Times New Roman" w:hAnsi="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3E016B"/>
    <w:multiLevelType w:val="multilevel"/>
    <w:tmpl w:val="A3BCFFC0"/>
    <w:lvl w:ilvl="0">
      <w:start w:val="1"/>
      <w:numFmt w:val="decimal"/>
      <w:pStyle w:val="berschrift1"/>
      <w:lvlText w:val="%1."/>
      <w:lvlJc w:val="left"/>
      <w:pPr>
        <w:ind w:left="720" w:hanging="360"/>
      </w:pPr>
      <w:rPr>
        <w:rFonts w:hint="default"/>
      </w:rPr>
    </w:lvl>
    <w:lvl w:ilvl="1">
      <w:start w:val="1"/>
      <w:numFmt w:val="decimal"/>
      <w:pStyle w:val="berschrift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42C54C2"/>
    <w:multiLevelType w:val="hybridMultilevel"/>
    <w:tmpl w:val="BFE657B0"/>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BA53F0"/>
    <w:multiLevelType w:val="hybridMultilevel"/>
    <w:tmpl w:val="539ABA40"/>
    <w:lvl w:ilvl="0" w:tplc="04070001">
      <w:start w:val="1"/>
      <w:numFmt w:val="bullet"/>
      <w:lvlText w:val=""/>
      <w:lvlJc w:val="left"/>
      <w:pPr>
        <w:ind w:left="720" w:hanging="360"/>
      </w:pPr>
      <w:rPr>
        <w:rFonts w:ascii="Symbol" w:hAnsi="Symbol" w:hint="default"/>
      </w:rPr>
    </w:lvl>
    <w:lvl w:ilvl="1" w:tplc="B9BE3118">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A3C6B89"/>
    <w:multiLevelType w:val="hybridMultilevel"/>
    <w:tmpl w:val="FB244E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883CD0"/>
    <w:multiLevelType w:val="hybridMultilevel"/>
    <w:tmpl w:val="68642BCC"/>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9DC04534">
      <w:start w:val="9"/>
      <w:numFmt w:val="bullet"/>
      <w:lvlText w:val="-"/>
      <w:lvlJc w:val="left"/>
      <w:pPr>
        <w:ind w:left="2160" w:hanging="180"/>
      </w:pPr>
      <w:rPr>
        <w:rFonts w:ascii="Times New Roman" w:hAnsi="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0EE6252"/>
    <w:multiLevelType w:val="hybridMultilevel"/>
    <w:tmpl w:val="64F4653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 w15:restartNumberingAfterBreak="0">
    <w:nsid w:val="622B5838"/>
    <w:multiLevelType w:val="hybridMultilevel"/>
    <w:tmpl w:val="3C0C24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6CC7069"/>
    <w:multiLevelType w:val="hybridMultilevel"/>
    <w:tmpl w:val="64E411B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9035D20"/>
    <w:multiLevelType w:val="hybridMultilevel"/>
    <w:tmpl w:val="C47666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A6F7AC9"/>
    <w:multiLevelType w:val="hybridMultilevel"/>
    <w:tmpl w:val="64D84684"/>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9DC04534">
      <w:start w:val="9"/>
      <w:numFmt w:val="bullet"/>
      <w:lvlText w:val="-"/>
      <w:lvlJc w:val="left"/>
      <w:pPr>
        <w:ind w:left="2160" w:hanging="180"/>
      </w:pPr>
      <w:rPr>
        <w:rFonts w:ascii="Times New Roman" w:hAnsi="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8B0F9E"/>
    <w:multiLevelType w:val="hybridMultilevel"/>
    <w:tmpl w:val="9EFA6F80"/>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FF773F"/>
    <w:multiLevelType w:val="hybridMultilevel"/>
    <w:tmpl w:val="206AD1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9871530"/>
    <w:multiLevelType w:val="multilevel"/>
    <w:tmpl w:val="EF52A76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79D93A22"/>
    <w:multiLevelType w:val="hybridMultilevel"/>
    <w:tmpl w:val="F21224FE"/>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153798"/>
    <w:multiLevelType w:val="hybridMultilevel"/>
    <w:tmpl w:val="E294E21A"/>
    <w:lvl w:ilvl="0" w:tplc="0407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560405"/>
    <w:multiLevelType w:val="hybridMultilevel"/>
    <w:tmpl w:val="9BE059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32"/>
  </w:num>
  <w:num w:numId="13">
    <w:abstractNumId w:val="42"/>
  </w:num>
  <w:num w:numId="14">
    <w:abstractNumId w:val="18"/>
  </w:num>
  <w:num w:numId="15">
    <w:abstractNumId w:val="49"/>
  </w:num>
  <w:num w:numId="16">
    <w:abstractNumId w:val="16"/>
  </w:num>
  <w:num w:numId="17">
    <w:abstractNumId w:val="40"/>
  </w:num>
  <w:num w:numId="18">
    <w:abstractNumId w:val="23"/>
  </w:num>
  <w:num w:numId="19">
    <w:abstractNumId w:val="25"/>
  </w:num>
  <w:num w:numId="20">
    <w:abstractNumId w:val="45"/>
  </w:num>
  <w:num w:numId="21">
    <w:abstractNumId w:val="30"/>
  </w:num>
  <w:num w:numId="22">
    <w:abstractNumId w:val="36"/>
  </w:num>
  <w:num w:numId="23">
    <w:abstractNumId w:val="26"/>
  </w:num>
  <w:num w:numId="24">
    <w:abstractNumId w:val="13"/>
  </w:num>
  <w:num w:numId="25">
    <w:abstractNumId w:val="31"/>
  </w:num>
  <w:num w:numId="26">
    <w:abstractNumId w:val="12"/>
  </w:num>
  <w:num w:numId="27">
    <w:abstractNumId w:val="33"/>
  </w:num>
  <w:num w:numId="28">
    <w:abstractNumId w:val="15"/>
  </w:num>
  <w:num w:numId="29">
    <w:abstractNumId w:val="48"/>
  </w:num>
  <w:num w:numId="30">
    <w:abstractNumId w:val="22"/>
  </w:num>
  <w:num w:numId="31">
    <w:abstractNumId w:val="35"/>
  </w:num>
  <w:num w:numId="32">
    <w:abstractNumId w:val="47"/>
  </w:num>
  <w:num w:numId="33">
    <w:abstractNumId w:val="17"/>
  </w:num>
  <w:num w:numId="34">
    <w:abstractNumId w:val="29"/>
  </w:num>
  <w:num w:numId="35">
    <w:abstractNumId w:val="44"/>
  </w:num>
  <w:num w:numId="36">
    <w:abstractNumId w:val="21"/>
  </w:num>
  <w:num w:numId="37">
    <w:abstractNumId w:val="19"/>
  </w:num>
  <w:num w:numId="38">
    <w:abstractNumId w:val="14"/>
  </w:num>
  <w:num w:numId="39">
    <w:abstractNumId w:val="28"/>
  </w:num>
  <w:num w:numId="40">
    <w:abstractNumId w:val="20"/>
  </w:num>
  <w:num w:numId="41">
    <w:abstractNumId w:val="38"/>
  </w:num>
  <w:num w:numId="42">
    <w:abstractNumId w:val="43"/>
  </w:num>
  <w:num w:numId="43">
    <w:abstractNumId w:val="27"/>
  </w:num>
  <w:num w:numId="44">
    <w:abstractNumId w:val="10"/>
  </w:num>
  <w:num w:numId="45">
    <w:abstractNumId w:val="24"/>
  </w:num>
  <w:num w:numId="46">
    <w:abstractNumId w:val="39"/>
  </w:num>
  <w:num w:numId="47">
    <w:abstractNumId w:val="34"/>
  </w:num>
  <w:num w:numId="48">
    <w:abstractNumId w:val="37"/>
  </w:num>
  <w:num w:numId="49">
    <w:abstractNumId w:val="41"/>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109"/>
    <w:rsid w:val="00006D3B"/>
    <w:rsid w:val="00015E4A"/>
    <w:rsid w:val="00020B1B"/>
    <w:rsid w:val="00022B2E"/>
    <w:rsid w:val="00026A39"/>
    <w:rsid w:val="000446EF"/>
    <w:rsid w:val="000651EE"/>
    <w:rsid w:val="00073F99"/>
    <w:rsid w:val="0007507E"/>
    <w:rsid w:val="00081BAF"/>
    <w:rsid w:val="00084F74"/>
    <w:rsid w:val="00090D07"/>
    <w:rsid w:val="000914E6"/>
    <w:rsid w:val="000929BC"/>
    <w:rsid w:val="000979C0"/>
    <w:rsid w:val="000A1052"/>
    <w:rsid w:val="000B609C"/>
    <w:rsid w:val="000D43A9"/>
    <w:rsid w:val="000D6B11"/>
    <w:rsid w:val="000E177B"/>
    <w:rsid w:val="000F615A"/>
    <w:rsid w:val="00107A77"/>
    <w:rsid w:val="001114CA"/>
    <w:rsid w:val="00112F84"/>
    <w:rsid w:val="00126F75"/>
    <w:rsid w:val="00130E96"/>
    <w:rsid w:val="00135ED6"/>
    <w:rsid w:val="00137CBD"/>
    <w:rsid w:val="001442BF"/>
    <w:rsid w:val="00150E37"/>
    <w:rsid w:val="0016768B"/>
    <w:rsid w:val="00170089"/>
    <w:rsid w:val="00173128"/>
    <w:rsid w:val="001811DE"/>
    <w:rsid w:val="00181290"/>
    <w:rsid w:val="00184FD8"/>
    <w:rsid w:val="001A3BDA"/>
    <w:rsid w:val="001D40B8"/>
    <w:rsid w:val="001D6D85"/>
    <w:rsid w:val="002076F4"/>
    <w:rsid w:val="00211A27"/>
    <w:rsid w:val="0022195F"/>
    <w:rsid w:val="002247C8"/>
    <w:rsid w:val="00227422"/>
    <w:rsid w:val="0023143F"/>
    <w:rsid w:val="00250317"/>
    <w:rsid w:val="0025276B"/>
    <w:rsid w:val="0025723F"/>
    <w:rsid w:val="00287BF2"/>
    <w:rsid w:val="0029634F"/>
    <w:rsid w:val="002A1ED2"/>
    <w:rsid w:val="002C186A"/>
    <w:rsid w:val="002C723F"/>
    <w:rsid w:val="002D4814"/>
    <w:rsid w:val="002D53FB"/>
    <w:rsid w:val="002E4980"/>
    <w:rsid w:val="002F7995"/>
    <w:rsid w:val="00304152"/>
    <w:rsid w:val="00304B1C"/>
    <w:rsid w:val="0030603A"/>
    <w:rsid w:val="003071E6"/>
    <w:rsid w:val="0031490F"/>
    <w:rsid w:val="00321387"/>
    <w:rsid w:val="00323466"/>
    <w:rsid w:val="003248C0"/>
    <w:rsid w:val="00332656"/>
    <w:rsid w:val="00340CCE"/>
    <w:rsid w:val="003450EF"/>
    <w:rsid w:val="00365C1C"/>
    <w:rsid w:val="00381B25"/>
    <w:rsid w:val="00383A07"/>
    <w:rsid w:val="003840DE"/>
    <w:rsid w:val="003849F3"/>
    <w:rsid w:val="00391D94"/>
    <w:rsid w:val="00396E44"/>
    <w:rsid w:val="00397CBF"/>
    <w:rsid w:val="003A613C"/>
    <w:rsid w:val="003B0181"/>
    <w:rsid w:val="003C06E3"/>
    <w:rsid w:val="003C5A1E"/>
    <w:rsid w:val="003D1240"/>
    <w:rsid w:val="003D42FF"/>
    <w:rsid w:val="003D56AF"/>
    <w:rsid w:val="003D7DBC"/>
    <w:rsid w:val="003F1BDC"/>
    <w:rsid w:val="004068B1"/>
    <w:rsid w:val="00422952"/>
    <w:rsid w:val="00424AA2"/>
    <w:rsid w:val="0042737E"/>
    <w:rsid w:val="00434255"/>
    <w:rsid w:val="004405D1"/>
    <w:rsid w:val="00456C53"/>
    <w:rsid w:val="0045702C"/>
    <w:rsid w:val="00463B94"/>
    <w:rsid w:val="004A415B"/>
    <w:rsid w:val="004A4E64"/>
    <w:rsid w:val="004B4FC8"/>
    <w:rsid w:val="004B6E1B"/>
    <w:rsid w:val="004C0BF5"/>
    <w:rsid w:val="004C6529"/>
    <w:rsid w:val="004D1611"/>
    <w:rsid w:val="004E3EC9"/>
    <w:rsid w:val="005070F5"/>
    <w:rsid w:val="00507475"/>
    <w:rsid w:val="00507C68"/>
    <w:rsid w:val="005125A0"/>
    <w:rsid w:val="00517C3D"/>
    <w:rsid w:val="00542A59"/>
    <w:rsid w:val="00560AE7"/>
    <w:rsid w:val="00570EB3"/>
    <w:rsid w:val="005752D4"/>
    <w:rsid w:val="005875BF"/>
    <w:rsid w:val="00592526"/>
    <w:rsid w:val="005967C2"/>
    <w:rsid w:val="00597D17"/>
    <w:rsid w:val="005B11B6"/>
    <w:rsid w:val="005B79E4"/>
    <w:rsid w:val="005C0F87"/>
    <w:rsid w:val="005D11A3"/>
    <w:rsid w:val="005D4078"/>
    <w:rsid w:val="00606292"/>
    <w:rsid w:val="00622477"/>
    <w:rsid w:val="00623E7E"/>
    <w:rsid w:val="00623F00"/>
    <w:rsid w:val="006251DD"/>
    <w:rsid w:val="00627109"/>
    <w:rsid w:val="00631D59"/>
    <w:rsid w:val="00632DEB"/>
    <w:rsid w:val="00635FF5"/>
    <w:rsid w:val="00646E4D"/>
    <w:rsid w:val="006522A7"/>
    <w:rsid w:val="00670808"/>
    <w:rsid w:val="00675914"/>
    <w:rsid w:val="00680AFF"/>
    <w:rsid w:val="006942B4"/>
    <w:rsid w:val="006960DD"/>
    <w:rsid w:val="0069616C"/>
    <w:rsid w:val="006B455C"/>
    <w:rsid w:val="006C01D1"/>
    <w:rsid w:val="006C72B4"/>
    <w:rsid w:val="006D67B0"/>
    <w:rsid w:val="006E61A6"/>
    <w:rsid w:val="006F63AD"/>
    <w:rsid w:val="00706834"/>
    <w:rsid w:val="0070705B"/>
    <w:rsid w:val="0072259A"/>
    <w:rsid w:val="007228FF"/>
    <w:rsid w:val="007379D8"/>
    <w:rsid w:val="007644D9"/>
    <w:rsid w:val="00781EA5"/>
    <w:rsid w:val="00782966"/>
    <w:rsid w:val="00785CA6"/>
    <w:rsid w:val="00786383"/>
    <w:rsid w:val="00786963"/>
    <w:rsid w:val="00790B50"/>
    <w:rsid w:val="007954EC"/>
    <w:rsid w:val="007A19DF"/>
    <w:rsid w:val="007A3538"/>
    <w:rsid w:val="007B0854"/>
    <w:rsid w:val="007B1A42"/>
    <w:rsid w:val="007D31F8"/>
    <w:rsid w:val="007E3100"/>
    <w:rsid w:val="007F3B7C"/>
    <w:rsid w:val="007F3F63"/>
    <w:rsid w:val="0080614D"/>
    <w:rsid w:val="008260CC"/>
    <w:rsid w:val="00831496"/>
    <w:rsid w:val="008329FD"/>
    <w:rsid w:val="00847451"/>
    <w:rsid w:val="00875F12"/>
    <w:rsid w:val="0087687D"/>
    <w:rsid w:val="008B376F"/>
    <w:rsid w:val="008D0162"/>
    <w:rsid w:val="008D33D6"/>
    <w:rsid w:val="008D638C"/>
    <w:rsid w:val="008D73FE"/>
    <w:rsid w:val="008E0F07"/>
    <w:rsid w:val="008E6B52"/>
    <w:rsid w:val="009109C4"/>
    <w:rsid w:val="00920527"/>
    <w:rsid w:val="00934036"/>
    <w:rsid w:val="00934043"/>
    <w:rsid w:val="0093604F"/>
    <w:rsid w:val="00937E9D"/>
    <w:rsid w:val="00937FBD"/>
    <w:rsid w:val="00942FB7"/>
    <w:rsid w:val="00951C63"/>
    <w:rsid w:val="009675A4"/>
    <w:rsid w:val="009712E3"/>
    <w:rsid w:val="00986C75"/>
    <w:rsid w:val="00987B8C"/>
    <w:rsid w:val="0099292C"/>
    <w:rsid w:val="009941A0"/>
    <w:rsid w:val="009A15CC"/>
    <w:rsid w:val="009B17D8"/>
    <w:rsid w:val="009C5592"/>
    <w:rsid w:val="009C7AA6"/>
    <w:rsid w:val="009D28E9"/>
    <w:rsid w:val="009E0C6D"/>
    <w:rsid w:val="009E4F0E"/>
    <w:rsid w:val="009F30DD"/>
    <w:rsid w:val="00A07AA1"/>
    <w:rsid w:val="00A116B9"/>
    <w:rsid w:val="00A127B0"/>
    <w:rsid w:val="00A157EB"/>
    <w:rsid w:val="00A24114"/>
    <w:rsid w:val="00A256F7"/>
    <w:rsid w:val="00A35860"/>
    <w:rsid w:val="00A47E73"/>
    <w:rsid w:val="00A5577D"/>
    <w:rsid w:val="00A61DF1"/>
    <w:rsid w:val="00A6475F"/>
    <w:rsid w:val="00A70057"/>
    <w:rsid w:val="00A74502"/>
    <w:rsid w:val="00A9387C"/>
    <w:rsid w:val="00AA2323"/>
    <w:rsid w:val="00AB3F75"/>
    <w:rsid w:val="00AC46EA"/>
    <w:rsid w:val="00AD2CA2"/>
    <w:rsid w:val="00AE7888"/>
    <w:rsid w:val="00AE7EA9"/>
    <w:rsid w:val="00AF3722"/>
    <w:rsid w:val="00B05DAF"/>
    <w:rsid w:val="00B10DAF"/>
    <w:rsid w:val="00B12509"/>
    <w:rsid w:val="00B14A28"/>
    <w:rsid w:val="00B14F9F"/>
    <w:rsid w:val="00B32E0B"/>
    <w:rsid w:val="00B33AAB"/>
    <w:rsid w:val="00B34866"/>
    <w:rsid w:val="00B4400F"/>
    <w:rsid w:val="00B46335"/>
    <w:rsid w:val="00B539DA"/>
    <w:rsid w:val="00B62542"/>
    <w:rsid w:val="00B823E8"/>
    <w:rsid w:val="00B83284"/>
    <w:rsid w:val="00B83D6D"/>
    <w:rsid w:val="00B96110"/>
    <w:rsid w:val="00B97288"/>
    <w:rsid w:val="00BA71BB"/>
    <w:rsid w:val="00BB452C"/>
    <w:rsid w:val="00BC04A0"/>
    <w:rsid w:val="00BC3D5C"/>
    <w:rsid w:val="00BC62B5"/>
    <w:rsid w:val="00BC66AB"/>
    <w:rsid w:val="00BC7BF3"/>
    <w:rsid w:val="00BD715B"/>
    <w:rsid w:val="00C0366F"/>
    <w:rsid w:val="00C17672"/>
    <w:rsid w:val="00C2418D"/>
    <w:rsid w:val="00C2553A"/>
    <w:rsid w:val="00C35696"/>
    <w:rsid w:val="00C358C1"/>
    <w:rsid w:val="00C57EA8"/>
    <w:rsid w:val="00C770DF"/>
    <w:rsid w:val="00C86B46"/>
    <w:rsid w:val="00C963B7"/>
    <w:rsid w:val="00CB12B2"/>
    <w:rsid w:val="00CB5D28"/>
    <w:rsid w:val="00CB624E"/>
    <w:rsid w:val="00CD0A17"/>
    <w:rsid w:val="00CD2B37"/>
    <w:rsid w:val="00CF6A7F"/>
    <w:rsid w:val="00D07218"/>
    <w:rsid w:val="00D24FA8"/>
    <w:rsid w:val="00D349D2"/>
    <w:rsid w:val="00D36C92"/>
    <w:rsid w:val="00D37E0D"/>
    <w:rsid w:val="00D42BC5"/>
    <w:rsid w:val="00D63D87"/>
    <w:rsid w:val="00D65A44"/>
    <w:rsid w:val="00D718E8"/>
    <w:rsid w:val="00D81AEB"/>
    <w:rsid w:val="00DA34FD"/>
    <w:rsid w:val="00DB3373"/>
    <w:rsid w:val="00DD4724"/>
    <w:rsid w:val="00DF6553"/>
    <w:rsid w:val="00E1544F"/>
    <w:rsid w:val="00E30698"/>
    <w:rsid w:val="00E31EBE"/>
    <w:rsid w:val="00E512D1"/>
    <w:rsid w:val="00E543A3"/>
    <w:rsid w:val="00E60717"/>
    <w:rsid w:val="00E60F89"/>
    <w:rsid w:val="00E6388A"/>
    <w:rsid w:val="00E8038E"/>
    <w:rsid w:val="00E85CF8"/>
    <w:rsid w:val="00E911C7"/>
    <w:rsid w:val="00E97178"/>
    <w:rsid w:val="00EA1ACF"/>
    <w:rsid w:val="00EC23A8"/>
    <w:rsid w:val="00EC53E1"/>
    <w:rsid w:val="00ED3CF6"/>
    <w:rsid w:val="00EE01BC"/>
    <w:rsid w:val="00EE5376"/>
    <w:rsid w:val="00EF6748"/>
    <w:rsid w:val="00F0113F"/>
    <w:rsid w:val="00F17B6D"/>
    <w:rsid w:val="00F25DC0"/>
    <w:rsid w:val="00F344D0"/>
    <w:rsid w:val="00F35661"/>
    <w:rsid w:val="00F37F3F"/>
    <w:rsid w:val="00F77AB6"/>
    <w:rsid w:val="00F86BAA"/>
    <w:rsid w:val="00F948E9"/>
    <w:rsid w:val="00FB1FD1"/>
    <w:rsid w:val="00FB3C83"/>
    <w:rsid w:val="00FB5736"/>
    <w:rsid w:val="00FC48D6"/>
    <w:rsid w:val="00FC7236"/>
    <w:rsid w:val="00FC7986"/>
    <w:rsid w:val="00FD0C85"/>
    <w:rsid w:val="00FE53FA"/>
    <w:rsid w:val="00FF16F5"/>
    <w:rsid w:val="00FF59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F04FCB"/>
  <w15:chartTrackingRefBased/>
  <w15:docId w15:val="{F4BFE5AF-555C-4EF2-8F0F-AF2D00FC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624E"/>
    <w:pPr>
      <w:jc w:val="both"/>
    </w:pPr>
    <w:rPr>
      <w:rFonts w:ascii="Arial" w:hAnsi="Arial" w:cs="Arial"/>
      <w:sz w:val="20"/>
      <w:szCs w:val="20"/>
    </w:rPr>
  </w:style>
  <w:style w:type="paragraph" w:styleId="berschrift1">
    <w:name w:val="heading 1"/>
    <w:basedOn w:val="Listenabsatz"/>
    <w:next w:val="Standard"/>
    <w:link w:val="berschrift1Zchn"/>
    <w:uiPriority w:val="9"/>
    <w:qFormat/>
    <w:rsid w:val="00C358C1"/>
    <w:pPr>
      <w:numPr>
        <w:numId w:val="47"/>
      </w:numPr>
      <w:outlineLvl w:val="0"/>
    </w:pPr>
    <w:rPr>
      <w:b/>
      <w:sz w:val="24"/>
    </w:rPr>
  </w:style>
  <w:style w:type="paragraph" w:styleId="berschrift2">
    <w:name w:val="heading 2"/>
    <w:basedOn w:val="Listenabsatz"/>
    <w:next w:val="Standard"/>
    <w:link w:val="berschrift2Zchn"/>
    <w:uiPriority w:val="9"/>
    <w:unhideWhenUsed/>
    <w:qFormat/>
    <w:rsid w:val="00FB1FD1"/>
    <w:pPr>
      <w:numPr>
        <w:ilvl w:val="1"/>
        <w:numId w:val="47"/>
      </w:numPr>
      <w:outlineLvl w:val="1"/>
    </w:pPr>
    <w:rPr>
      <w:b/>
      <w:sz w:val="22"/>
    </w:rPr>
  </w:style>
  <w:style w:type="paragraph" w:styleId="berschrift3">
    <w:name w:val="heading 3"/>
    <w:basedOn w:val="Standard"/>
    <w:next w:val="Standard"/>
    <w:link w:val="berschrift3Zchn"/>
    <w:uiPriority w:val="9"/>
    <w:semiHidden/>
    <w:unhideWhenUsed/>
    <w:qFormat/>
    <w:rsid w:val="00DD4724"/>
    <w:pPr>
      <w:keepNext/>
      <w:keepLines/>
      <w:spacing w:before="200"/>
      <w:outlineLvl w:val="2"/>
    </w:pPr>
    <w:rPr>
      <w:rFonts w:eastAsiaTheme="majorEastAsia" w:cstheme="majorBidi"/>
      <w:b/>
      <w:bCs/>
    </w:rPr>
  </w:style>
  <w:style w:type="paragraph" w:styleId="berschrift5">
    <w:name w:val="heading 5"/>
    <w:basedOn w:val="Standard"/>
    <w:next w:val="Standard"/>
    <w:link w:val="berschrift5Zchn"/>
    <w:uiPriority w:val="9"/>
    <w:unhideWhenUsed/>
    <w:rsid w:val="00DD4724"/>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rsid w:val="00DD4724"/>
    <w:pPr>
      <w:keepNext/>
      <w:keepLines/>
      <w:spacing w:before="200"/>
      <w:outlineLvl w:val="5"/>
    </w:pPr>
    <w:rPr>
      <w:rFonts w:eastAsiaTheme="majorEastAsia" w:cstheme="majorBidi"/>
      <w:i/>
      <w:iCs/>
      <w:color w:val="243F60" w:themeColor="accent1" w:themeShade="7F"/>
    </w:rPr>
  </w:style>
  <w:style w:type="paragraph" w:styleId="berschrift7">
    <w:name w:val="heading 7"/>
    <w:basedOn w:val="Standard"/>
    <w:next w:val="Standard"/>
    <w:link w:val="berschrift7Zchn"/>
    <w:uiPriority w:val="9"/>
    <w:unhideWhenUsed/>
    <w:rsid w:val="00DD4724"/>
    <w:pPr>
      <w:keepNext/>
      <w:keepLines/>
      <w:spacing w:before="200"/>
      <w:outlineLvl w:val="6"/>
    </w:pPr>
    <w:rPr>
      <w:rFonts w:eastAsiaTheme="majorEastAsia" w:cstheme="majorBidi"/>
      <w:i/>
      <w:iCs/>
      <w:color w:val="404040" w:themeColor="text1" w:themeTint="BF"/>
    </w:rPr>
  </w:style>
  <w:style w:type="paragraph" w:styleId="berschrift8">
    <w:name w:val="heading 8"/>
    <w:basedOn w:val="Standard"/>
    <w:next w:val="Standard"/>
    <w:link w:val="berschrift8Zchn"/>
    <w:uiPriority w:val="9"/>
    <w:semiHidden/>
    <w:unhideWhenUsed/>
    <w:rsid w:val="00DD4724"/>
    <w:pPr>
      <w:keepNext/>
      <w:keepLines/>
      <w:spacing w:before="200"/>
      <w:outlineLvl w:val="7"/>
    </w:pPr>
    <w:rPr>
      <w:rFonts w:eastAsiaTheme="majorEastAsia" w:cstheme="majorBidi"/>
      <w:color w:val="404040" w:themeColor="text1" w:themeTint="BF"/>
    </w:rPr>
  </w:style>
  <w:style w:type="paragraph" w:styleId="berschrift9">
    <w:name w:val="heading 9"/>
    <w:basedOn w:val="Standard"/>
    <w:next w:val="Standard"/>
    <w:link w:val="berschrift9Zchn"/>
    <w:uiPriority w:val="9"/>
    <w:semiHidden/>
    <w:unhideWhenUsed/>
    <w:qFormat/>
    <w:rsid w:val="00DD4724"/>
    <w:pPr>
      <w:keepNext/>
      <w:keepLines/>
      <w:spacing w:before="200"/>
      <w:outlineLvl w:val="8"/>
    </w:pPr>
    <w:rPr>
      <w:rFonts w:eastAsiaTheme="majorEastAsia"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358C1"/>
    <w:rPr>
      <w:rFonts w:ascii="Arial" w:hAnsi="Arial" w:cs="Arial"/>
      <w:b/>
      <w:sz w:val="24"/>
      <w:szCs w:val="20"/>
    </w:rPr>
  </w:style>
  <w:style w:type="character" w:customStyle="1" w:styleId="berschrift2Zchn">
    <w:name w:val="Überschrift 2 Zchn"/>
    <w:basedOn w:val="Absatz-Standardschriftart"/>
    <w:link w:val="berschrift2"/>
    <w:uiPriority w:val="9"/>
    <w:rsid w:val="00FB1FD1"/>
    <w:rPr>
      <w:rFonts w:ascii="Arial" w:hAnsi="Arial" w:cs="Arial"/>
      <w:b/>
      <w:szCs w:val="20"/>
    </w:rPr>
  </w:style>
  <w:style w:type="paragraph" w:styleId="Titel">
    <w:name w:val="Title"/>
    <w:basedOn w:val="Standard"/>
    <w:next w:val="Standard"/>
    <w:link w:val="TitelZchn"/>
    <w:uiPriority w:val="10"/>
    <w:qFormat/>
    <w:rsid w:val="00DD4724"/>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DD4724"/>
    <w:rPr>
      <w:rFonts w:ascii="Arial" w:eastAsiaTheme="majorEastAsia" w:hAnsi="Arial"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DD4724"/>
    <w:pPr>
      <w:numPr>
        <w:ilvl w:val="1"/>
      </w:numPr>
    </w:pPr>
    <w:rPr>
      <w:rFonts w:eastAsiaTheme="majorEastAsia" w:cstheme="majorBidi"/>
      <w:i/>
      <w:iCs/>
      <w:spacing w:val="15"/>
      <w:sz w:val="24"/>
      <w:szCs w:val="24"/>
    </w:rPr>
  </w:style>
  <w:style w:type="character" w:customStyle="1" w:styleId="UntertitelZchn">
    <w:name w:val="Untertitel Zchn"/>
    <w:basedOn w:val="Absatz-Standardschriftart"/>
    <w:link w:val="Untertitel"/>
    <w:uiPriority w:val="11"/>
    <w:rsid w:val="00DD4724"/>
    <w:rPr>
      <w:rFonts w:ascii="Arial" w:eastAsiaTheme="majorEastAsia" w:hAnsi="Arial" w:cstheme="majorBidi"/>
      <w:i/>
      <w:iCs/>
      <w:spacing w:val="15"/>
      <w:sz w:val="24"/>
      <w:szCs w:val="24"/>
    </w:rPr>
  </w:style>
  <w:style w:type="character" w:customStyle="1" w:styleId="berschrift5Zchn">
    <w:name w:val="Überschrift 5 Zchn"/>
    <w:basedOn w:val="Absatz-Standardschriftart"/>
    <w:link w:val="berschrift5"/>
    <w:uiPriority w:val="9"/>
    <w:rsid w:val="00DD4724"/>
    <w:rPr>
      <w:rFonts w:asciiTheme="majorHAnsi" w:eastAsiaTheme="majorEastAsia" w:hAnsiTheme="majorHAnsi" w:cstheme="majorBidi"/>
      <w:color w:val="243F60" w:themeColor="accent1" w:themeShade="7F"/>
    </w:rPr>
  </w:style>
  <w:style w:type="character" w:customStyle="1" w:styleId="berschrift3Zchn">
    <w:name w:val="Überschrift 3 Zchn"/>
    <w:basedOn w:val="Absatz-Standardschriftart"/>
    <w:link w:val="berschrift3"/>
    <w:uiPriority w:val="9"/>
    <w:semiHidden/>
    <w:rsid w:val="00DD4724"/>
    <w:rPr>
      <w:rFonts w:ascii="Arial" w:eastAsiaTheme="majorEastAsia" w:hAnsi="Arial" w:cstheme="majorBidi"/>
      <w:b/>
      <w:bCs/>
    </w:rPr>
  </w:style>
  <w:style w:type="character" w:customStyle="1" w:styleId="berschrift6Zchn">
    <w:name w:val="Überschrift 6 Zchn"/>
    <w:basedOn w:val="Absatz-Standardschriftart"/>
    <w:link w:val="berschrift6"/>
    <w:uiPriority w:val="9"/>
    <w:rsid w:val="00DD4724"/>
    <w:rPr>
      <w:rFonts w:ascii="Arial" w:eastAsiaTheme="majorEastAsia" w:hAnsi="Arial" w:cstheme="majorBidi"/>
      <w:i/>
      <w:iCs/>
      <w:color w:val="243F60" w:themeColor="accent1" w:themeShade="7F"/>
    </w:rPr>
  </w:style>
  <w:style w:type="character" w:customStyle="1" w:styleId="berschrift7Zchn">
    <w:name w:val="Überschrift 7 Zchn"/>
    <w:basedOn w:val="Absatz-Standardschriftart"/>
    <w:link w:val="berschrift7"/>
    <w:uiPriority w:val="9"/>
    <w:rsid w:val="00DD4724"/>
    <w:rPr>
      <w:rFonts w:ascii="Arial" w:eastAsiaTheme="majorEastAsia" w:hAnsi="Arial" w:cstheme="majorBidi"/>
      <w:i/>
      <w:iCs/>
      <w:color w:val="404040" w:themeColor="text1" w:themeTint="BF"/>
    </w:rPr>
  </w:style>
  <w:style w:type="character" w:customStyle="1" w:styleId="berschrift8Zchn">
    <w:name w:val="Überschrift 8 Zchn"/>
    <w:basedOn w:val="Absatz-Standardschriftart"/>
    <w:link w:val="berschrift8"/>
    <w:uiPriority w:val="9"/>
    <w:semiHidden/>
    <w:rsid w:val="00DD4724"/>
    <w:rPr>
      <w:rFonts w:ascii="Arial" w:eastAsiaTheme="majorEastAsia" w:hAnsi="Arial" w:cstheme="majorBidi"/>
      <w:color w:val="404040" w:themeColor="text1" w:themeTint="BF"/>
      <w:szCs w:val="20"/>
    </w:rPr>
  </w:style>
  <w:style w:type="character" w:customStyle="1" w:styleId="berschrift9Zchn">
    <w:name w:val="Überschrift 9 Zchn"/>
    <w:basedOn w:val="Absatz-Standardschriftart"/>
    <w:link w:val="berschrift9"/>
    <w:uiPriority w:val="9"/>
    <w:semiHidden/>
    <w:rsid w:val="00DD4724"/>
    <w:rPr>
      <w:rFonts w:ascii="Arial" w:eastAsiaTheme="majorEastAsia" w:hAnsi="Arial" w:cstheme="majorBidi"/>
      <w:i/>
      <w:iCs/>
      <w:color w:val="404040" w:themeColor="text1" w:themeTint="BF"/>
      <w:szCs w:val="20"/>
    </w:rPr>
  </w:style>
  <w:style w:type="paragraph" w:styleId="Inhaltsverzeichnisberschrift">
    <w:name w:val="TOC Heading"/>
    <w:basedOn w:val="berschrift1"/>
    <w:next w:val="Standard"/>
    <w:uiPriority w:val="39"/>
    <w:unhideWhenUsed/>
    <w:qFormat/>
    <w:rsid w:val="00DD4724"/>
    <w:pPr>
      <w:outlineLvl w:val="9"/>
    </w:pPr>
  </w:style>
  <w:style w:type="paragraph" w:styleId="Verzeichnis1">
    <w:name w:val="toc 1"/>
    <w:basedOn w:val="Standard"/>
    <w:next w:val="Standard"/>
    <w:autoRedefine/>
    <w:uiPriority w:val="39"/>
    <w:unhideWhenUsed/>
    <w:rsid w:val="00DD4724"/>
    <w:pPr>
      <w:spacing w:after="100"/>
    </w:pPr>
  </w:style>
  <w:style w:type="paragraph" w:styleId="Liste">
    <w:name w:val="List"/>
    <w:basedOn w:val="Standard"/>
    <w:uiPriority w:val="99"/>
    <w:semiHidden/>
    <w:unhideWhenUsed/>
    <w:rsid w:val="00DD4724"/>
    <w:pPr>
      <w:ind w:left="283" w:hanging="283"/>
      <w:contextualSpacing/>
    </w:pPr>
  </w:style>
  <w:style w:type="paragraph" w:styleId="NurText">
    <w:name w:val="Plain Text"/>
    <w:basedOn w:val="Standard"/>
    <w:link w:val="NurTextZchn"/>
    <w:uiPriority w:val="99"/>
    <w:semiHidden/>
    <w:unhideWhenUsed/>
    <w:rsid w:val="00DD4724"/>
    <w:rPr>
      <w:rFonts w:cs="Consolas"/>
      <w:szCs w:val="21"/>
    </w:rPr>
  </w:style>
  <w:style w:type="character" w:customStyle="1" w:styleId="NurTextZchn">
    <w:name w:val="Nur Text Zchn"/>
    <w:basedOn w:val="Absatz-Standardschriftart"/>
    <w:link w:val="NurText"/>
    <w:uiPriority w:val="99"/>
    <w:semiHidden/>
    <w:rsid w:val="00DD4724"/>
    <w:rPr>
      <w:rFonts w:ascii="Arial" w:hAnsi="Arial" w:cs="Consolas"/>
      <w:szCs w:val="21"/>
    </w:rPr>
  </w:style>
  <w:style w:type="paragraph" w:styleId="Textkrper">
    <w:name w:val="Body Text"/>
    <w:basedOn w:val="Standard"/>
    <w:link w:val="TextkrperZchn"/>
    <w:uiPriority w:val="99"/>
    <w:semiHidden/>
    <w:unhideWhenUsed/>
    <w:rsid w:val="00DD4724"/>
    <w:pPr>
      <w:spacing w:after="120"/>
    </w:pPr>
  </w:style>
  <w:style w:type="character" w:customStyle="1" w:styleId="TextkrperZchn">
    <w:name w:val="Textkörper Zchn"/>
    <w:basedOn w:val="Absatz-Standardschriftart"/>
    <w:link w:val="Textkrper"/>
    <w:uiPriority w:val="99"/>
    <w:semiHidden/>
    <w:rsid w:val="00DD4724"/>
    <w:rPr>
      <w:rFonts w:ascii="Arial" w:hAnsi="Arial"/>
    </w:rPr>
  </w:style>
  <w:style w:type="paragraph" w:styleId="Unterschrift">
    <w:name w:val="Signature"/>
    <w:basedOn w:val="Standard"/>
    <w:link w:val="UnterschriftZchn"/>
    <w:uiPriority w:val="99"/>
    <w:semiHidden/>
    <w:unhideWhenUsed/>
    <w:rsid w:val="00DD4724"/>
    <w:pPr>
      <w:ind w:left="4252"/>
    </w:pPr>
  </w:style>
  <w:style w:type="character" w:customStyle="1" w:styleId="UnterschriftZchn">
    <w:name w:val="Unterschrift Zchn"/>
    <w:basedOn w:val="Absatz-Standardschriftart"/>
    <w:link w:val="Unterschrift"/>
    <w:uiPriority w:val="99"/>
    <w:semiHidden/>
    <w:rsid w:val="00DD4724"/>
    <w:rPr>
      <w:rFonts w:ascii="Arial" w:hAnsi="Arial"/>
    </w:rPr>
  </w:style>
  <w:style w:type="paragraph" w:styleId="Kopfzeile">
    <w:name w:val="header"/>
    <w:basedOn w:val="Standard"/>
    <w:link w:val="KopfzeileZchn"/>
    <w:uiPriority w:val="99"/>
    <w:unhideWhenUsed/>
    <w:rsid w:val="008D638C"/>
    <w:pPr>
      <w:tabs>
        <w:tab w:val="center" w:pos="4536"/>
        <w:tab w:val="right" w:pos="9072"/>
      </w:tabs>
    </w:pPr>
  </w:style>
  <w:style w:type="character" w:customStyle="1" w:styleId="KopfzeileZchn">
    <w:name w:val="Kopfzeile Zchn"/>
    <w:basedOn w:val="Absatz-Standardschriftart"/>
    <w:link w:val="Kopfzeile"/>
    <w:uiPriority w:val="99"/>
    <w:rsid w:val="008D638C"/>
    <w:rPr>
      <w:rFonts w:ascii="Arial" w:hAnsi="Arial"/>
    </w:rPr>
  </w:style>
  <w:style w:type="paragraph" w:styleId="Fuzeile">
    <w:name w:val="footer"/>
    <w:basedOn w:val="Standard"/>
    <w:link w:val="FuzeileZchn"/>
    <w:uiPriority w:val="99"/>
    <w:unhideWhenUsed/>
    <w:rsid w:val="008D638C"/>
    <w:pPr>
      <w:tabs>
        <w:tab w:val="center" w:pos="4536"/>
        <w:tab w:val="right" w:pos="9072"/>
      </w:tabs>
    </w:pPr>
  </w:style>
  <w:style w:type="character" w:customStyle="1" w:styleId="FuzeileZchn">
    <w:name w:val="Fußzeile Zchn"/>
    <w:basedOn w:val="Absatz-Standardschriftart"/>
    <w:link w:val="Fuzeile"/>
    <w:uiPriority w:val="99"/>
    <w:rsid w:val="008D638C"/>
    <w:rPr>
      <w:rFonts w:ascii="Arial" w:hAnsi="Arial"/>
    </w:rPr>
  </w:style>
  <w:style w:type="paragraph" w:styleId="Sprechblasentext">
    <w:name w:val="Balloon Text"/>
    <w:basedOn w:val="Standard"/>
    <w:link w:val="SprechblasentextZchn"/>
    <w:uiPriority w:val="99"/>
    <w:semiHidden/>
    <w:unhideWhenUsed/>
    <w:rsid w:val="008D63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D638C"/>
    <w:rPr>
      <w:rFonts w:ascii="Tahoma" w:hAnsi="Tahoma" w:cs="Tahoma"/>
      <w:sz w:val="16"/>
      <w:szCs w:val="16"/>
    </w:rPr>
  </w:style>
  <w:style w:type="paragraph" w:styleId="Listenabsatz">
    <w:name w:val="List Paragraph"/>
    <w:basedOn w:val="Standard"/>
    <w:uiPriority w:val="34"/>
    <w:qFormat/>
    <w:rsid w:val="00AD2CA2"/>
    <w:pPr>
      <w:ind w:left="720"/>
      <w:contextualSpacing/>
    </w:pPr>
  </w:style>
  <w:style w:type="table" w:styleId="Tabellenraster">
    <w:name w:val="Table Grid"/>
    <w:basedOn w:val="NormaleTabelle"/>
    <w:uiPriority w:val="39"/>
    <w:rsid w:val="008329FD"/>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A9387C"/>
    <w:rPr>
      <w:color w:val="0000FF" w:themeColor="hyperlink"/>
      <w:u w:val="single"/>
    </w:rPr>
  </w:style>
  <w:style w:type="paragraph" w:styleId="Endnotentext">
    <w:name w:val="endnote text"/>
    <w:basedOn w:val="Standard"/>
    <w:link w:val="EndnotentextZchn"/>
    <w:uiPriority w:val="99"/>
    <w:semiHidden/>
    <w:unhideWhenUsed/>
    <w:rsid w:val="00786963"/>
  </w:style>
  <w:style w:type="character" w:customStyle="1" w:styleId="EndnotentextZchn">
    <w:name w:val="Endnotentext Zchn"/>
    <w:basedOn w:val="Absatz-Standardschriftart"/>
    <w:link w:val="Endnotentext"/>
    <w:uiPriority w:val="99"/>
    <w:semiHidden/>
    <w:rsid w:val="00786963"/>
    <w:rPr>
      <w:rFonts w:ascii="Arial" w:hAnsi="Arial" w:cs="Arial"/>
      <w:sz w:val="20"/>
      <w:szCs w:val="20"/>
    </w:rPr>
  </w:style>
  <w:style w:type="character" w:styleId="Endnotenzeichen">
    <w:name w:val="endnote reference"/>
    <w:basedOn w:val="Absatz-Standardschriftart"/>
    <w:uiPriority w:val="99"/>
    <w:semiHidden/>
    <w:unhideWhenUsed/>
    <w:rsid w:val="00786963"/>
    <w:rPr>
      <w:vertAlign w:val="superscript"/>
    </w:rPr>
  </w:style>
  <w:style w:type="paragraph" w:styleId="Beschriftung">
    <w:name w:val="caption"/>
    <w:basedOn w:val="Standard"/>
    <w:next w:val="Standard"/>
    <w:uiPriority w:val="35"/>
    <w:unhideWhenUsed/>
    <w:qFormat/>
    <w:rsid w:val="00A157EB"/>
    <w:pPr>
      <w:spacing w:after="200"/>
    </w:pPr>
    <w:rPr>
      <w:i/>
      <w:iCs/>
      <w:color w:val="1F497D" w:themeColor="text2"/>
      <w:sz w:val="18"/>
      <w:szCs w:val="18"/>
    </w:rPr>
  </w:style>
  <w:style w:type="paragraph" w:customStyle="1" w:styleId="TN-Standard">
    <w:name w:val="TN-Standard"/>
    <w:basedOn w:val="Standard"/>
    <w:qFormat/>
    <w:rsid w:val="001D40B8"/>
    <w:pPr>
      <w:jc w:val="left"/>
    </w:pPr>
    <w:rPr>
      <w:rFonts w:eastAsia="Times New Roman" w:cs="Times New Roman"/>
      <w:sz w:val="22"/>
      <w:lang w:eastAsia="de-DE"/>
    </w:rPr>
  </w:style>
  <w:style w:type="paragraph" w:styleId="Funotentext">
    <w:name w:val="footnote text"/>
    <w:basedOn w:val="Standard"/>
    <w:link w:val="FunotentextZchn"/>
    <w:uiPriority w:val="99"/>
    <w:semiHidden/>
    <w:unhideWhenUsed/>
    <w:rsid w:val="00FD0C85"/>
  </w:style>
  <w:style w:type="character" w:customStyle="1" w:styleId="FunotentextZchn">
    <w:name w:val="Fußnotentext Zchn"/>
    <w:basedOn w:val="Absatz-Standardschriftart"/>
    <w:link w:val="Funotentext"/>
    <w:uiPriority w:val="99"/>
    <w:semiHidden/>
    <w:rsid w:val="00FD0C85"/>
    <w:rPr>
      <w:rFonts w:ascii="Arial" w:hAnsi="Arial" w:cs="Arial"/>
      <w:sz w:val="20"/>
      <w:szCs w:val="20"/>
    </w:rPr>
  </w:style>
  <w:style w:type="character" w:styleId="Funotenzeichen">
    <w:name w:val="footnote reference"/>
    <w:basedOn w:val="Absatz-Standardschriftart"/>
    <w:uiPriority w:val="99"/>
    <w:semiHidden/>
    <w:unhideWhenUsed/>
    <w:rsid w:val="00FD0C85"/>
    <w:rPr>
      <w:vertAlign w:val="superscript"/>
    </w:rPr>
  </w:style>
  <w:style w:type="paragraph" w:styleId="Verzeichnis2">
    <w:name w:val="toc 2"/>
    <w:basedOn w:val="Standard"/>
    <w:next w:val="Standard"/>
    <w:autoRedefine/>
    <w:uiPriority w:val="39"/>
    <w:unhideWhenUsed/>
    <w:rsid w:val="00084F74"/>
    <w:pPr>
      <w:spacing w:after="100" w:line="259" w:lineRule="auto"/>
      <w:ind w:left="220"/>
      <w:jc w:val="left"/>
    </w:pPr>
    <w:rPr>
      <w:rFonts w:asciiTheme="minorHAnsi" w:eastAsiaTheme="minorEastAsia" w:hAnsiTheme="minorHAnsi" w:cs="Times New Roman"/>
      <w:sz w:val="22"/>
      <w:szCs w:val="22"/>
      <w:lang w:eastAsia="de-DE"/>
    </w:rPr>
  </w:style>
  <w:style w:type="paragraph" w:styleId="Verzeichnis3">
    <w:name w:val="toc 3"/>
    <w:basedOn w:val="Standard"/>
    <w:next w:val="Standard"/>
    <w:autoRedefine/>
    <w:uiPriority w:val="39"/>
    <w:unhideWhenUsed/>
    <w:rsid w:val="00084F74"/>
    <w:pPr>
      <w:spacing w:after="100" w:line="259" w:lineRule="auto"/>
      <w:ind w:left="440"/>
      <w:jc w:val="left"/>
    </w:pPr>
    <w:rPr>
      <w:rFonts w:asciiTheme="minorHAnsi" w:eastAsiaTheme="minorEastAsia" w:hAnsiTheme="minorHAnsi" w:cs="Times New Roman"/>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216698">
      <w:bodyDiv w:val="1"/>
      <w:marLeft w:val="0"/>
      <w:marRight w:val="0"/>
      <w:marTop w:val="0"/>
      <w:marBottom w:val="0"/>
      <w:divBdr>
        <w:top w:val="none" w:sz="0" w:space="0" w:color="auto"/>
        <w:left w:val="none" w:sz="0" w:space="0" w:color="auto"/>
        <w:bottom w:val="none" w:sz="0" w:space="0" w:color="auto"/>
        <w:right w:val="none" w:sz="0" w:space="0" w:color="auto"/>
      </w:divBdr>
    </w:div>
    <w:div w:id="317342497">
      <w:bodyDiv w:val="1"/>
      <w:marLeft w:val="0"/>
      <w:marRight w:val="0"/>
      <w:marTop w:val="0"/>
      <w:marBottom w:val="0"/>
      <w:divBdr>
        <w:top w:val="none" w:sz="0" w:space="0" w:color="auto"/>
        <w:left w:val="none" w:sz="0" w:space="0" w:color="auto"/>
        <w:bottom w:val="none" w:sz="0" w:space="0" w:color="auto"/>
        <w:right w:val="none" w:sz="0" w:space="0" w:color="auto"/>
      </w:divBdr>
    </w:div>
    <w:div w:id="1556939040">
      <w:bodyDiv w:val="1"/>
      <w:marLeft w:val="0"/>
      <w:marRight w:val="0"/>
      <w:marTop w:val="0"/>
      <w:marBottom w:val="0"/>
      <w:divBdr>
        <w:top w:val="none" w:sz="0" w:space="0" w:color="auto"/>
        <w:left w:val="none" w:sz="0" w:space="0" w:color="auto"/>
        <w:bottom w:val="none" w:sz="0" w:space="0" w:color="auto"/>
        <w:right w:val="none" w:sz="0" w:space="0" w:color="auto"/>
      </w:divBdr>
    </w:div>
    <w:div w:id="185907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511400-9C08-4339-A219-65F6AD32B33D}"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de-DE"/>
        </a:p>
      </dgm:t>
    </dgm:pt>
    <dgm:pt modelId="{C06F18B9-29EA-48E0-988F-A96EFC0E3E75}">
      <dgm:prSet phldrT="[Text]" custT="1"/>
      <dgm:spPr>
        <a:ln>
          <a:solidFill>
            <a:schemeClr val="tx1"/>
          </a:solidFill>
        </a:ln>
      </dgm:spPr>
      <dgm:t>
        <a:bodyPr/>
        <a:lstStyle/>
        <a:p>
          <a:r>
            <a:rPr lang="de-DE" sz="800">
              <a:latin typeface="Arial" panose="020B0604020202020204" pitchFamily="34" charset="0"/>
              <a:cs typeface="Arial" panose="020B0604020202020204" pitchFamily="34" charset="0"/>
            </a:rPr>
            <a:t>TD and corresponding documents</a:t>
          </a:r>
        </a:p>
      </dgm:t>
    </dgm:pt>
    <dgm:pt modelId="{E0CD9DB2-0B34-43A8-AAAF-158212E56C7D}" type="parTrans" cxnId="{F36B32E5-2D78-420A-A92B-EC0E8F52D01A}">
      <dgm:prSet/>
      <dgm:spPr/>
      <dgm:t>
        <a:bodyPr/>
        <a:lstStyle/>
        <a:p>
          <a:endParaRPr lang="de-DE" sz="800">
            <a:latin typeface="Arial" panose="020B0604020202020204" pitchFamily="34" charset="0"/>
            <a:cs typeface="Arial" panose="020B0604020202020204" pitchFamily="34" charset="0"/>
          </a:endParaRPr>
        </a:p>
      </dgm:t>
    </dgm:pt>
    <dgm:pt modelId="{2DDBA9F6-B42B-4A8C-81FD-796E9B2D8A8C}" type="sibTrans" cxnId="{F36B32E5-2D78-420A-A92B-EC0E8F52D01A}">
      <dgm:prSet/>
      <dgm:spPr/>
      <dgm:t>
        <a:bodyPr/>
        <a:lstStyle/>
        <a:p>
          <a:endParaRPr lang="de-DE" sz="800">
            <a:latin typeface="Arial" panose="020B0604020202020204" pitchFamily="34" charset="0"/>
            <a:cs typeface="Arial" panose="020B0604020202020204" pitchFamily="34" charset="0"/>
          </a:endParaRPr>
        </a:p>
      </dgm:t>
    </dgm:pt>
    <dgm:pt modelId="{842D166E-0459-4C40-997D-AD832759BF59}">
      <dgm:prSet phldrT="[Text]" custT="1"/>
      <dgm:spPr>
        <a:ln>
          <a:solidFill>
            <a:schemeClr val="tx1"/>
          </a:solidFill>
        </a:ln>
      </dgm:spPr>
      <dgm:t>
        <a:bodyPr/>
        <a:lstStyle/>
        <a:p>
          <a:r>
            <a:rPr lang="de-DE" sz="800">
              <a:latin typeface="Arial" panose="020B0604020202020204" pitchFamily="34" charset="0"/>
              <a:cs typeface="Arial" panose="020B0604020202020204" pitchFamily="34" charset="0"/>
            </a:rPr>
            <a:t>Annex II: technical documentation</a:t>
          </a:r>
        </a:p>
      </dgm:t>
    </dgm:pt>
    <dgm:pt modelId="{BE0944CD-4947-4F6B-BA69-166BA2C68B7C}" type="parTrans" cxnId="{18256B21-3928-48E3-95AD-8B8D14BB6B11}">
      <dgm:prSet custT="1"/>
      <dgm:spPr/>
      <dgm:t>
        <a:bodyPr/>
        <a:lstStyle/>
        <a:p>
          <a:endParaRPr lang="de-DE" sz="800">
            <a:latin typeface="Arial" panose="020B0604020202020204" pitchFamily="34" charset="0"/>
            <a:cs typeface="Arial" panose="020B0604020202020204" pitchFamily="34" charset="0"/>
          </a:endParaRPr>
        </a:p>
      </dgm:t>
    </dgm:pt>
    <dgm:pt modelId="{3BE0FBE4-3878-431F-9BD9-7C8B804247F9}" type="sibTrans" cxnId="{18256B21-3928-48E3-95AD-8B8D14BB6B11}">
      <dgm:prSet/>
      <dgm:spPr/>
      <dgm:t>
        <a:bodyPr/>
        <a:lstStyle/>
        <a:p>
          <a:endParaRPr lang="de-DE" sz="800">
            <a:latin typeface="Arial" panose="020B0604020202020204" pitchFamily="34" charset="0"/>
            <a:cs typeface="Arial" panose="020B0604020202020204" pitchFamily="34" charset="0"/>
          </a:endParaRPr>
        </a:p>
      </dgm:t>
    </dgm:pt>
    <dgm:pt modelId="{4EA12F97-60F1-4FEC-B301-27335FFA232F}">
      <dgm:prSet phldrT="[Text]" custT="1"/>
      <dgm:spPr>
        <a:ln>
          <a:solidFill>
            <a:schemeClr val="tx1"/>
          </a:solidFill>
        </a:ln>
      </dgm:spPr>
      <dgm:t>
        <a:bodyPr/>
        <a:lstStyle/>
        <a:p>
          <a:r>
            <a:rPr lang="de-DE" sz="800">
              <a:latin typeface="Arial" panose="020B0604020202020204" pitchFamily="34" charset="0"/>
              <a:cs typeface="Arial" panose="020B0604020202020204" pitchFamily="34" charset="0"/>
            </a:rPr>
            <a:t>Risk-benefit analysis and risk management</a:t>
          </a:r>
        </a:p>
      </dgm:t>
    </dgm:pt>
    <dgm:pt modelId="{7155E1A7-5E4B-4BE1-A49C-92A43D88BD53}" type="parTrans" cxnId="{FB10E6AB-98CE-4CB2-BBCD-DCA4077ED147}">
      <dgm:prSet custT="1"/>
      <dgm:spPr/>
      <dgm:t>
        <a:bodyPr/>
        <a:lstStyle/>
        <a:p>
          <a:endParaRPr lang="de-DE" sz="800">
            <a:latin typeface="Arial" panose="020B0604020202020204" pitchFamily="34" charset="0"/>
            <a:cs typeface="Arial" panose="020B0604020202020204" pitchFamily="34" charset="0"/>
          </a:endParaRPr>
        </a:p>
      </dgm:t>
    </dgm:pt>
    <dgm:pt modelId="{DD067D9F-8797-4B2A-8102-0C4B493B05D2}" type="sibTrans" cxnId="{FB10E6AB-98CE-4CB2-BBCD-DCA4077ED147}">
      <dgm:prSet/>
      <dgm:spPr/>
      <dgm:t>
        <a:bodyPr/>
        <a:lstStyle/>
        <a:p>
          <a:endParaRPr lang="de-DE" sz="800">
            <a:latin typeface="Arial" panose="020B0604020202020204" pitchFamily="34" charset="0"/>
            <a:cs typeface="Arial" panose="020B0604020202020204" pitchFamily="34" charset="0"/>
          </a:endParaRPr>
        </a:p>
      </dgm:t>
    </dgm:pt>
    <dgm:pt modelId="{6B7E4FC7-AD38-4211-8099-6920826476FF}">
      <dgm:prSet phldrT="[Text]" custT="1"/>
      <dgm:spPr>
        <a:ln>
          <a:solidFill>
            <a:schemeClr val="tx1"/>
          </a:solidFill>
        </a:ln>
      </dgm:spPr>
      <dgm:t>
        <a:bodyPr/>
        <a:lstStyle/>
        <a:p>
          <a:r>
            <a:rPr lang="de-DE" sz="800">
              <a:latin typeface="Arial" panose="020B0604020202020204" pitchFamily="34" charset="0"/>
              <a:cs typeface="Arial" panose="020B0604020202020204" pitchFamily="34" charset="0"/>
            </a:rPr>
            <a:t>Verification and validation of the product</a:t>
          </a:r>
        </a:p>
      </dgm:t>
    </dgm:pt>
    <dgm:pt modelId="{B2F6AD3A-E296-4B72-82C3-3B4791304ECE}" type="parTrans" cxnId="{C684DAAB-626D-4FE5-9D64-3F53C0ED666A}">
      <dgm:prSet custT="1"/>
      <dgm:spPr/>
      <dgm:t>
        <a:bodyPr/>
        <a:lstStyle/>
        <a:p>
          <a:endParaRPr lang="de-DE" sz="800">
            <a:latin typeface="Arial" panose="020B0604020202020204" pitchFamily="34" charset="0"/>
            <a:cs typeface="Arial" panose="020B0604020202020204" pitchFamily="34" charset="0"/>
          </a:endParaRPr>
        </a:p>
      </dgm:t>
    </dgm:pt>
    <dgm:pt modelId="{116081D0-8412-424C-9AFB-EBEA0AE02495}" type="sibTrans" cxnId="{C684DAAB-626D-4FE5-9D64-3F53C0ED666A}">
      <dgm:prSet/>
      <dgm:spPr/>
      <dgm:t>
        <a:bodyPr/>
        <a:lstStyle/>
        <a:p>
          <a:endParaRPr lang="de-DE" sz="800">
            <a:latin typeface="Arial" panose="020B0604020202020204" pitchFamily="34" charset="0"/>
            <a:cs typeface="Arial" panose="020B0604020202020204" pitchFamily="34" charset="0"/>
          </a:endParaRPr>
        </a:p>
      </dgm:t>
    </dgm:pt>
    <dgm:pt modelId="{7D461C33-635A-4AA3-A46C-C628467CDDD7}">
      <dgm:prSet phldrT="[Text]" custT="1"/>
      <dgm:spPr>
        <a:solidFill>
          <a:srgbClr val="92D050"/>
        </a:solidFill>
        <a:ln>
          <a:solidFill>
            <a:schemeClr val="tx1"/>
          </a:solidFill>
        </a:ln>
      </dgm:spPr>
      <dgm:t>
        <a:bodyPr/>
        <a:lstStyle/>
        <a:p>
          <a:r>
            <a:rPr lang="de-DE" sz="800">
              <a:latin typeface="Arial" panose="020B0604020202020204" pitchFamily="34" charset="0"/>
              <a:cs typeface="Arial" panose="020B0604020202020204" pitchFamily="34" charset="0"/>
            </a:rPr>
            <a:t>Annex III: Technical documentation on post-market surveillance</a:t>
          </a:r>
        </a:p>
      </dgm:t>
    </dgm:pt>
    <dgm:pt modelId="{79903C46-3A15-4AA6-8CD9-B8A6AC4AC50E}" type="parTrans" cxnId="{3C32DA3C-B03F-4108-95DB-1F941B037F2A}">
      <dgm:prSet custT="1"/>
      <dgm:spPr>
        <a:ln>
          <a:solidFill>
            <a:srgbClr val="92D050"/>
          </a:solidFill>
        </a:ln>
      </dgm:spPr>
      <dgm:t>
        <a:bodyPr/>
        <a:lstStyle/>
        <a:p>
          <a:endParaRPr lang="de-DE" sz="800">
            <a:latin typeface="Arial" panose="020B0604020202020204" pitchFamily="34" charset="0"/>
            <a:cs typeface="Arial" panose="020B0604020202020204" pitchFamily="34" charset="0"/>
          </a:endParaRPr>
        </a:p>
      </dgm:t>
    </dgm:pt>
    <dgm:pt modelId="{DDB69F0A-8D1A-48E6-A050-99BF8A0B2DDC}" type="sibTrans" cxnId="{3C32DA3C-B03F-4108-95DB-1F941B037F2A}">
      <dgm:prSet/>
      <dgm:spPr/>
      <dgm:t>
        <a:bodyPr/>
        <a:lstStyle/>
        <a:p>
          <a:endParaRPr lang="de-DE" sz="800">
            <a:latin typeface="Arial" panose="020B0604020202020204" pitchFamily="34" charset="0"/>
            <a:cs typeface="Arial" panose="020B0604020202020204" pitchFamily="34" charset="0"/>
          </a:endParaRPr>
        </a:p>
      </dgm:t>
    </dgm:pt>
    <dgm:pt modelId="{BA8D92D3-B005-4ED8-A475-8D2CEC89BE96}">
      <dgm:prSet phldrT="[Text]" custT="1"/>
      <dgm:spPr>
        <a:solidFill>
          <a:srgbClr val="92D050"/>
        </a:solidFill>
        <a:ln>
          <a:solidFill>
            <a:schemeClr val="tx1"/>
          </a:solidFill>
        </a:ln>
      </dgm:spPr>
      <dgm:t>
        <a:bodyPr/>
        <a:lstStyle/>
        <a:p>
          <a:r>
            <a:rPr lang="de-DE" sz="800">
              <a:latin typeface="Arial" panose="020B0604020202020204" pitchFamily="34" charset="0"/>
              <a:cs typeface="Arial" panose="020B0604020202020204" pitchFamily="34" charset="0"/>
            </a:rPr>
            <a:t>Post-market surveillance plan and report</a:t>
          </a:r>
        </a:p>
      </dgm:t>
    </dgm:pt>
    <dgm:pt modelId="{081630C8-F20F-4A18-9A67-B4202E29ECDA}" type="parTrans" cxnId="{C5AF9901-3580-472B-A574-BF617F62B95C}">
      <dgm:prSet custT="1"/>
      <dgm:spPr/>
      <dgm:t>
        <a:bodyPr/>
        <a:lstStyle/>
        <a:p>
          <a:endParaRPr lang="de-DE" sz="800">
            <a:latin typeface="Arial" panose="020B0604020202020204" pitchFamily="34" charset="0"/>
            <a:cs typeface="Arial" panose="020B0604020202020204" pitchFamily="34" charset="0"/>
          </a:endParaRPr>
        </a:p>
      </dgm:t>
    </dgm:pt>
    <dgm:pt modelId="{CD6D1947-036F-401C-8FBF-7539E243CF10}" type="sibTrans" cxnId="{C5AF9901-3580-472B-A574-BF617F62B95C}">
      <dgm:prSet/>
      <dgm:spPr/>
      <dgm:t>
        <a:bodyPr/>
        <a:lstStyle/>
        <a:p>
          <a:endParaRPr lang="de-DE" sz="800">
            <a:latin typeface="Arial" panose="020B0604020202020204" pitchFamily="34" charset="0"/>
            <a:cs typeface="Arial" panose="020B0604020202020204" pitchFamily="34" charset="0"/>
          </a:endParaRPr>
        </a:p>
      </dgm:t>
    </dgm:pt>
    <dgm:pt modelId="{54251BE1-6AA8-48E6-885F-9F7DFEEB237D}">
      <dgm:prSet custT="1"/>
      <dgm:spPr>
        <a:solidFill>
          <a:srgbClr val="92D050"/>
        </a:solidFill>
        <a:ln>
          <a:solidFill>
            <a:schemeClr val="tx1"/>
          </a:solidFill>
        </a:ln>
      </dgm:spPr>
      <dgm:t>
        <a:bodyPr/>
        <a:lstStyle/>
        <a:p>
          <a:r>
            <a:rPr lang="de-DE" sz="800">
              <a:latin typeface="Arial" panose="020B0604020202020204" pitchFamily="34" charset="0"/>
              <a:cs typeface="Arial" panose="020B0604020202020204" pitchFamily="34" charset="0"/>
            </a:rPr>
            <a:t>PSUR, if applicable SSCP</a:t>
          </a:r>
        </a:p>
      </dgm:t>
    </dgm:pt>
    <dgm:pt modelId="{D83706B1-BA39-41B6-A8CC-4A04FB2BBD85}" type="parTrans" cxnId="{27BEE8E0-24DC-4B3F-BE83-E282F7A431EF}">
      <dgm:prSet custT="1"/>
      <dgm:spPr/>
      <dgm:t>
        <a:bodyPr/>
        <a:lstStyle/>
        <a:p>
          <a:endParaRPr lang="de-DE" sz="800">
            <a:latin typeface="Arial" panose="020B0604020202020204" pitchFamily="34" charset="0"/>
            <a:cs typeface="Arial" panose="020B0604020202020204" pitchFamily="34" charset="0"/>
          </a:endParaRPr>
        </a:p>
      </dgm:t>
    </dgm:pt>
    <dgm:pt modelId="{09A7F0E6-37D8-4E78-9C6A-7E2DBD8AFBA2}" type="sibTrans" cxnId="{27BEE8E0-24DC-4B3F-BE83-E282F7A431EF}">
      <dgm:prSet/>
      <dgm:spPr/>
      <dgm:t>
        <a:bodyPr/>
        <a:lstStyle/>
        <a:p>
          <a:endParaRPr lang="de-DE" sz="800">
            <a:latin typeface="Arial" panose="020B0604020202020204" pitchFamily="34" charset="0"/>
            <a:cs typeface="Arial" panose="020B0604020202020204" pitchFamily="34" charset="0"/>
          </a:endParaRPr>
        </a:p>
      </dgm:t>
    </dgm:pt>
    <dgm:pt modelId="{20B30C54-DDE4-4508-8A16-960FC4B36442}">
      <dgm:prSet custT="1"/>
      <dgm:spPr>
        <a:ln>
          <a:solidFill>
            <a:schemeClr val="tx1"/>
          </a:solidFill>
        </a:ln>
      </dgm:spPr>
      <dgm:t>
        <a:bodyPr/>
        <a:lstStyle/>
        <a:p>
          <a:r>
            <a:rPr lang="de-DE" sz="800">
              <a:latin typeface="Arial" panose="020B0604020202020204" pitchFamily="34" charset="0"/>
              <a:cs typeface="Arial" panose="020B0604020202020204" pitchFamily="34" charset="0"/>
            </a:rPr>
            <a:t>Essential safety and performance requirements</a:t>
          </a:r>
        </a:p>
      </dgm:t>
    </dgm:pt>
    <dgm:pt modelId="{612B724A-D664-4EC0-9CAC-F95C36CAA5F7}" type="parTrans" cxnId="{F8235BD0-93E0-4ED7-8E2F-9AF96FCFA50E}">
      <dgm:prSet custT="1"/>
      <dgm:spPr/>
      <dgm:t>
        <a:bodyPr/>
        <a:lstStyle/>
        <a:p>
          <a:endParaRPr lang="de-DE" sz="800">
            <a:latin typeface="Arial" panose="020B0604020202020204" pitchFamily="34" charset="0"/>
            <a:cs typeface="Arial" panose="020B0604020202020204" pitchFamily="34" charset="0"/>
          </a:endParaRPr>
        </a:p>
      </dgm:t>
    </dgm:pt>
    <dgm:pt modelId="{DBF29D0D-6AFB-45FC-A9F5-CB3C35B28C3A}" type="sibTrans" cxnId="{F8235BD0-93E0-4ED7-8E2F-9AF96FCFA50E}">
      <dgm:prSet/>
      <dgm:spPr/>
      <dgm:t>
        <a:bodyPr/>
        <a:lstStyle/>
        <a:p>
          <a:endParaRPr lang="de-DE" sz="800">
            <a:latin typeface="Arial" panose="020B0604020202020204" pitchFamily="34" charset="0"/>
            <a:cs typeface="Arial" panose="020B0604020202020204" pitchFamily="34" charset="0"/>
          </a:endParaRPr>
        </a:p>
      </dgm:t>
    </dgm:pt>
    <dgm:pt modelId="{040F5098-D6B7-453C-8C03-BC80B776D000}">
      <dgm:prSet custT="1"/>
      <dgm:spPr>
        <a:ln>
          <a:solidFill>
            <a:schemeClr val="tx1"/>
          </a:solidFill>
        </a:ln>
      </dgm:spPr>
      <dgm:t>
        <a:bodyPr/>
        <a:lstStyle/>
        <a:p>
          <a:r>
            <a:rPr lang="de-DE" sz="800">
              <a:latin typeface="Arial" panose="020B0604020202020204" pitchFamily="34" charset="0"/>
              <a:cs typeface="Arial" panose="020B0604020202020204" pitchFamily="34" charset="0"/>
            </a:rPr>
            <a:t>Information on desing and manufacturing</a:t>
          </a:r>
        </a:p>
      </dgm:t>
    </dgm:pt>
    <dgm:pt modelId="{82C58E32-6993-4E9A-8B60-F3E49C5487DE}" type="parTrans" cxnId="{5293572E-F882-4836-8999-EDE02240C3AB}">
      <dgm:prSet custT="1"/>
      <dgm:spPr/>
      <dgm:t>
        <a:bodyPr/>
        <a:lstStyle/>
        <a:p>
          <a:endParaRPr lang="de-DE" sz="800">
            <a:latin typeface="Arial" panose="020B0604020202020204" pitchFamily="34" charset="0"/>
            <a:cs typeface="Arial" panose="020B0604020202020204" pitchFamily="34" charset="0"/>
          </a:endParaRPr>
        </a:p>
      </dgm:t>
    </dgm:pt>
    <dgm:pt modelId="{680E88D7-C1C6-4E11-869E-57CB2CE67F76}" type="sibTrans" cxnId="{5293572E-F882-4836-8999-EDE02240C3AB}">
      <dgm:prSet/>
      <dgm:spPr/>
      <dgm:t>
        <a:bodyPr/>
        <a:lstStyle/>
        <a:p>
          <a:endParaRPr lang="de-DE" sz="800">
            <a:latin typeface="Arial" panose="020B0604020202020204" pitchFamily="34" charset="0"/>
            <a:cs typeface="Arial" panose="020B0604020202020204" pitchFamily="34" charset="0"/>
          </a:endParaRPr>
        </a:p>
      </dgm:t>
    </dgm:pt>
    <dgm:pt modelId="{AE6C7837-F194-4BB6-BDFF-8ADFAFC7AB86}">
      <dgm:prSet custT="1"/>
      <dgm:spPr>
        <a:ln>
          <a:solidFill>
            <a:schemeClr val="tx1"/>
          </a:solidFill>
        </a:ln>
      </dgm:spPr>
      <dgm:t>
        <a:bodyPr/>
        <a:lstStyle/>
        <a:p>
          <a:r>
            <a:rPr lang="de-DE" sz="800">
              <a:latin typeface="Arial" panose="020B0604020202020204" pitchFamily="34" charset="0"/>
              <a:cs typeface="Arial" panose="020B0604020202020204" pitchFamily="34" charset="0"/>
            </a:rPr>
            <a:t>Information to be provided by the manufacturer</a:t>
          </a:r>
        </a:p>
      </dgm:t>
    </dgm:pt>
    <dgm:pt modelId="{35FF1D04-A7D8-4611-BCEC-FFC31E356F13}" type="parTrans" cxnId="{5E9B469A-639D-46C5-9B07-71022C6C19F3}">
      <dgm:prSet custT="1"/>
      <dgm:spPr/>
      <dgm:t>
        <a:bodyPr/>
        <a:lstStyle/>
        <a:p>
          <a:endParaRPr lang="de-DE" sz="800">
            <a:latin typeface="Arial" panose="020B0604020202020204" pitchFamily="34" charset="0"/>
            <a:cs typeface="Arial" panose="020B0604020202020204" pitchFamily="34" charset="0"/>
          </a:endParaRPr>
        </a:p>
      </dgm:t>
    </dgm:pt>
    <dgm:pt modelId="{15F93985-D01B-479E-A577-00BA2210DDC9}" type="sibTrans" cxnId="{5E9B469A-639D-46C5-9B07-71022C6C19F3}">
      <dgm:prSet/>
      <dgm:spPr/>
      <dgm:t>
        <a:bodyPr/>
        <a:lstStyle/>
        <a:p>
          <a:endParaRPr lang="de-DE" sz="800">
            <a:latin typeface="Arial" panose="020B0604020202020204" pitchFamily="34" charset="0"/>
            <a:cs typeface="Arial" panose="020B0604020202020204" pitchFamily="34" charset="0"/>
          </a:endParaRPr>
        </a:p>
      </dgm:t>
    </dgm:pt>
    <dgm:pt modelId="{54DBA01B-9DF1-4FF4-97E3-DDEC3F7665A0}">
      <dgm:prSet custT="1"/>
      <dgm:spPr>
        <a:ln>
          <a:solidFill>
            <a:schemeClr val="tx1"/>
          </a:solidFill>
        </a:ln>
      </dgm:spPr>
      <dgm:t>
        <a:bodyPr/>
        <a:lstStyle/>
        <a:p>
          <a:r>
            <a:rPr lang="de-DE" sz="800">
              <a:latin typeface="Arial" panose="020B0604020202020204" pitchFamily="34" charset="0"/>
              <a:cs typeface="Arial" panose="020B0604020202020204" pitchFamily="34" charset="0"/>
            </a:rPr>
            <a:t>Product description and specification including variants and accessories</a:t>
          </a:r>
        </a:p>
      </dgm:t>
    </dgm:pt>
    <dgm:pt modelId="{05B5EC1C-6EA4-46AC-967A-00393FE27E74}" type="parTrans" cxnId="{C52F7991-8E21-4C08-86E1-2F2364C6F1B7}">
      <dgm:prSet custT="1"/>
      <dgm:spPr/>
      <dgm:t>
        <a:bodyPr/>
        <a:lstStyle/>
        <a:p>
          <a:endParaRPr lang="de-DE" sz="800">
            <a:latin typeface="Arial" panose="020B0604020202020204" pitchFamily="34" charset="0"/>
            <a:cs typeface="Arial" panose="020B0604020202020204" pitchFamily="34" charset="0"/>
          </a:endParaRPr>
        </a:p>
      </dgm:t>
    </dgm:pt>
    <dgm:pt modelId="{32F45DFA-29B0-4CF9-BBB5-04080F61276D}" type="sibTrans" cxnId="{C52F7991-8E21-4C08-86E1-2F2364C6F1B7}">
      <dgm:prSet/>
      <dgm:spPr/>
      <dgm:t>
        <a:bodyPr/>
        <a:lstStyle/>
        <a:p>
          <a:endParaRPr lang="de-DE" sz="800">
            <a:latin typeface="Arial" panose="020B0604020202020204" pitchFamily="34" charset="0"/>
            <a:cs typeface="Arial" panose="020B0604020202020204" pitchFamily="34" charset="0"/>
          </a:endParaRPr>
        </a:p>
      </dgm:t>
    </dgm:pt>
    <dgm:pt modelId="{13183FD7-42CB-4688-950E-F7912ABF64B9}">
      <dgm:prSet custT="1"/>
      <dgm:spPr>
        <a:ln>
          <a:solidFill>
            <a:schemeClr val="tx1"/>
          </a:solidFill>
        </a:ln>
      </dgm:spPr>
      <dgm:t>
        <a:bodyPr/>
        <a:lstStyle/>
        <a:p>
          <a:r>
            <a:rPr lang="de-DE" sz="800">
              <a:latin typeface="Arial" panose="020B0604020202020204" pitchFamily="34" charset="0"/>
              <a:cs typeface="Arial" panose="020B0604020202020204" pitchFamily="34" charset="0"/>
            </a:rPr>
            <a:t>clinical data</a:t>
          </a:r>
        </a:p>
      </dgm:t>
    </dgm:pt>
    <dgm:pt modelId="{C8A53938-56D3-45A1-B98E-C8E5D64B251D}" type="parTrans" cxnId="{577340E4-8C9E-4514-B0D2-41C37D92C3F1}">
      <dgm:prSet/>
      <dgm:spPr/>
      <dgm:t>
        <a:bodyPr/>
        <a:lstStyle/>
        <a:p>
          <a:endParaRPr lang="de-DE"/>
        </a:p>
      </dgm:t>
    </dgm:pt>
    <dgm:pt modelId="{1B028315-DD21-4555-8C3E-5C87144BF2D7}" type="sibTrans" cxnId="{577340E4-8C9E-4514-B0D2-41C37D92C3F1}">
      <dgm:prSet/>
      <dgm:spPr/>
      <dgm:t>
        <a:bodyPr/>
        <a:lstStyle/>
        <a:p>
          <a:endParaRPr lang="de-DE"/>
        </a:p>
      </dgm:t>
    </dgm:pt>
    <dgm:pt modelId="{86B6C03A-40A3-4993-A46D-DFF79C647281}">
      <dgm:prSet custT="1"/>
      <dgm:spPr>
        <a:ln>
          <a:solidFill>
            <a:schemeClr val="tx1"/>
          </a:solidFill>
        </a:ln>
      </dgm:spPr>
      <dgm:t>
        <a:bodyPr/>
        <a:lstStyle/>
        <a:p>
          <a:r>
            <a:rPr lang="de-DE" sz="800">
              <a:latin typeface="Arial" panose="020B0604020202020204" pitchFamily="34" charset="0"/>
              <a:cs typeface="Arial" panose="020B0604020202020204" pitchFamily="34" charset="0"/>
            </a:rPr>
            <a:t>preclinical data</a:t>
          </a:r>
        </a:p>
      </dgm:t>
    </dgm:pt>
    <dgm:pt modelId="{78048003-7ACB-4850-9640-BE650D300E06}" type="parTrans" cxnId="{3DFD39A4-E148-4EFD-AEEE-0D72A6A1D549}">
      <dgm:prSet/>
      <dgm:spPr/>
      <dgm:t>
        <a:bodyPr/>
        <a:lstStyle/>
        <a:p>
          <a:endParaRPr lang="de-DE"/>
        </a:p>
      </dgm:t>
    </dgm:pt>
    <dgm:pt modelId="{88F7F54D-265A-42A8-8CEC-7D63C42E77F8}" type="sibTrans" cxnId="{3DFD39A4-E148-4EFD-AEEE-0D72A6A1D549}">
      <dgm:prSet/>
      <dgm:spPr/>
      <dgm:t>
        <a:bodyPr/>
        <a:lstStyle/>
        <a:p>
          <a:endParaRPr lang="de-DE"/>
        </a:p>
      </dgm:t>
    </dgm:pt>
    <dgm:pt modelId="{7F68FB70-1182-4A87-81A6-F5FABF56BD9E}">
      <dgm:prSet/>
      <dgm:spPr>
        <a:ln>
          <a:solidFill>
            <a:schemeClr val="tx1"/>
          </a:solidFill>
        </a:ln>
      </dgm:spPr>
      <dgm:t>
        <a:bodyPr/>
        <a:lstStyle/>
        <a:p>
          <a:r>
            <a:rPr lang="de-DE">
              <a:latin typeface="Arial" panose="020B0604020202020204" pitchFamily="34" charset="0"/>
              <a:cs typeface="Arial" panose="020B0604020202020204" pitchFamily="34" charset="0"/>
            </a:rPr>
            <a:t>Validation: IQ/OQ/PQ plans, reports and evidence for critical processes (e.g. Manufacturing, sterilization)</a:t>
          </a:r>
        </a:p>
      </dgm:t>
    </dgm:pt>
    <dgm:pt modelId="{9D0268EA-4742-472B-8173-C990A17025AB}" type="parTrans" cxnId="{4DC375C7-78D6-4ECD-A3D7-39766A2C0235}">
      <dgm:prSet/>
      <dgm:spPr/>
      <dgm:t>
        <a:bodyPr/>
        <a:lstStyle/>
        <a:p>
          <a:endParaRPr lang="de-DE"/>
        </a:p>
      </dgm:t>
    </dgm:pt>
    <dgm:pt modelId="{FE260072-6328-4029-9003-46445C48D210}" type="sibTrans" cxnId="{4DC375C7-78D6-4ECD-A3D7-39766A2C0235}">
      <dgm:prSet/>
      <dgm:spPr/>
      <dgm:t>
        <a:bodyPr/>
        <a:lstStyle/>
        <a:p>
          <a:endParaRPr lang="de-DE"/>
        </a:p>
      </dgm:t>
    </dgm:pt>
    <dgm:pt modelId="{3E69A0E6-FD6D-43B5-BE0E-25B24877C029}">
      <dgm:prSet/>
      <dgm:spPr>
        <a:ln>
          <a:solidFill>
            <a:schemeClr val="tx1"/>
          </a:solidFill>
        </a:ln>
      </dgm:spPr>
      <dgm:t>
        <a:bodyPr/>
        <a:lstStyle/>
        <a:p>
          <a:r>
            <a:rPr lang="de-DE">
              <a:latin typeface="Arial" panose="020B0604020202020204" pitchFamily="34" charset="0"/>
              <a:cs typeface="Arial" panose="020B0604020202020204" pitchFamily="34" charset="0"/>
            </a:rPr>
            <a:t>labeling and instruction for use</a:t>
          </a:r>
        </a:p>
      </dgm:t>
    </dgm:pt>
    <dgm:pt modelId="{0F9E3E6B-B822-4468-BFBE-B6860394F967}" type="parTrans" cxnId="{CCDDFBA0-EC85-43AD-9BDF-D1C4FB147B82}">
      <dgm:prSet/>
      <dgm:spPr/>
      <dgm:t>
        <a:bodyPr/>
        <a:lstStyle/>
        <a:p>
          <a:endParaRPr lang="de-DE"/>
        </a:p>
      </dgm:t>
    </dgm:pt>
    <dgm:pt modelId="{C60A4B31-BF49-45E6-BE28-BB791BAD28A1}" type="sibTrans" cxnId="{CCDDFBA0-EC85-43AD-9BDF-D1C4FB147B82}">
      <dgm:prSet/>
      <dgm:spPr/>
      <dgm:t>
        <a:bodyPr/>
        <a:lstStyle/>
        <a:p>
          <a:endParaRPr lang="de-DE"/>
        </a:p>
      </dgm:t>
    </dgm:pt>
    <dgm:pt modelId="{4E3B9F33-B963-401A-9732-8E8F22D11DBA}">
      <dgm:prSet/>
      <dgm:spPr>
        <a:solidFill>
          <a:srgbClr val="92D050"/>
        </a:solidFill>
        <a:ln>
          <a:solidFill>
            <a:schemeClr val="tx1"/>
          </a:solidFill>
        </a:ln>
      </dgm:spPr>
      <dgm:t>
        <a:bodyPr/>
        <a:lstStyle/>
        <a:p>
          <a:r>
            <a:rPr lang="de-DE">
              <a:latin typeface="Arial" panose="020B0604020202020204" pitchFamily="34" charset="0"/>
              <a:cs typeface="Arial" panose="020B0604020202020204" pitchFamily="34" charset="0"/>
            </a:rPr>
            <a:t>If applicable PMCF plan and report as part of the PMS plan and report</a:t>
          </a:r>
        </a:p>
      </dgm:t>
    </dgm:pt>
    <dgm:pt modelId="{EECC7238-5D11-4A09-8F2D-08818995D543}" type="parTrans" cxnId="{0E2ED307-ADA8-4F57-9CBA-17E633A56C58}">
      <dgm:prSet/>
      <dgm:spPr/>
      <dgm:t>
        <a:bodyPr/>
        <a:lstStyle/>
        <a:p>
          <a:endParaRPr lang="de-DE"/>
        </a:p>
      </dgm:t>
    </dgm:pt>
    <dgm:pt modelId="{87040077-A3F8-465B-9BA6-0B2A5F169225}" type="sibTrans" cxnId="{0E2ED307-ADA8-4F57-9CBA-17E633A56C58}">
      <dgm:prSet/>
      <dgm:spPr/>
      <dgm:t>
        <a:bodyPr/>
        <a:lstStyle/>
        <a:p>
          <a:endParaRPr lang="de-DE"/>
        </a:p>
      </dgm:t>
    </dgm:pt>
    <dgm:pt modelId="{2D1F44ED-B2A9-404E-AE21-ABEF8C738C45}" type="pres">
      <dgm:prSet presAssocID="{9A511400-9C08-4339-A219-65F6AD32B33D}" presName="diagram" presStyleCnt="0">
        <dgm:presLayoutVars>
          <dgm:chPref val="1"/>
          <dgm:dir/>
          <dgm:animOne val="branch"/>
          <dgm:animLvl val="lvl"/>
          <dgm:resizeHandles val="exact"/>
        </dgm:presLayoutVars>
      </dgm:prSet>
      <dgm:spPr/>
      <dgm:t>
        <a:bodyPr/>
        <a:lstStyle/>
        <a:p>
          <a:endParaRPr lang="de-DE"/>
        </a:p>
      </dgm:t>
    </dgm:pt>
    <dgm:pt modelId="{EB3876FF-0AC7-4CF9-AF55-7664AC9726C5}" type="pres">
      <dgm:prSet presAssocID="{C06F18B9-29EA-48E0-988F-A96EFC0E3E75}" presName="root1" presStyleCnt="0"/>
      <dgm:spPr/>
    </dgm:pt>
    <dgm:pt modelId="{86B61174-9DE6-4113-B987-7961413ECDAC}" type="pres">
      <dgm:prSet presAssocID="{C06F18B9-29EA-48E0-988F-A96EFC0E3E75}" presName="LevelOneTextNode" presStyleLbl="node0" presStyleIdx="0" presStyleCnt="1" custLinFactNeighborX="-68681" custLinFactNeighborY="1037">
        <dgm:presLayoutVars>
          <dgm:chPref val="3"/>
        </dgm:presLayoutVars>
      </dgm:prSet>
      <dgm:spPr/>
      <dgm:t>
        <a:bodyPr/>
        <a:lstStyle/>
        <a:p>
          <a:endParaRPr lang="de-DE"/>
        </a:p>
      </dgm:t>
    </dgm:pt>
    <dgm:pt modelId="{F307214D-2D27-41F2-B5A7-7BB2BB333256}" type="pres">
      <dgm:prSet presAssocID="{C06F18B9-29EA-48E0-988F-A96EFC0E3E75}" presName="level2hierChild" presStyleCnt="0"/>
      <dgm:spPr/>
    </dgm:pt>
    <dgm:pt modelId="{E73AADB9-1187-48CB-BC58-F279B1E988B5}" type="pres">
      <dgm:prSet presAssocID="{BE0944CD-4947-4F6B-BA69-166BA2C68B7C}" presName="conn2-1" presStyleLbl="parChTrans1D2" presStyleIdx="0" presStyleCnt="2"/>
      <dgm:spPr/>
      <dgm:t>
        <a:bodyPr/>
        <a:lstStyle/>
        <a:p>
          <a:endParaRPr lang="de-DE"/>
        </a:p>
      </dgm:t>
    </dgm:pt>
    <dgm:pt modelId="{FA3158B0-EDE2-4B39-BC14-589CA845141C}" type="pres">
      <dgm:prSet presAssocID="{BE0944CD-4947-4F6B-BA69-166BA2C68B7C}" presName="connTx" presStyleLbl="parChTrans1D2" presStyleIdx="0" presStyleCnt="2"/>
      <dgm:spPr/>
      <dgm:t>
        <a:bodyPr/>
        <a:lstStyle/>
        <a:p>
          <a:endParaRPr lang="de-DE"/>
        </a:p>
      </dgm:t>
    </dgm:pt>
    <dgm:pt modelId="{279BAB6C-05BF-4580-B565-D46B0B69C124}" type="pres">
      <dgm:prSet presAssocID="{842D166E-0459-4C40-997D-AD832759BF59}" presName="root2" presStyleCnt="0"/>
      <dgm:spPr/>
    </dgm:pt>
    <dgm:pt modelId="{049441C2-79A1-4A2B-90DD-A77A44736CB6}" type="pres">
      <dgm:prSet presAssocID="{842D166E-0459-4C40-997D-AD832759BF59}" presName="LevelTwoTextNode" presStyleLbl="node2" presStyleIdx="0" presStyleCnt="2">
        <dgm:presLayoutVars>
          <dgm:chPref val="3"/>
        </dgm:presLayoutVars>
      </dgm:prSet>
      <dgm:spPr/>
      <dgm:t>
        <a:bodyPr/>
        <a:lstStyle/>
        <a:p>
          <a:endParaRPr lang="de-DE"/>
        </a:p>
      </dgm:t>
    </dgm:pt>
    <dgm:pt modelId="{ABC1E41D-F248-4196-82F6-41BE996095A5}" type="pres">
      <dgm:prSet presAssocID="{842D166E-0459-4C40-997D-AD832759BF59}" presName="level3hierChild" presStyleCnt="0"/>
      <dgm:spPr/>
    </dgm:pt>
    <dgm:pt modelId="{B95C41F5-4D98-406D-9C70-BEE07CD7ADD7}" type="pres">
      <dgm:prSet presAssocID="{05B5EC1C-6EA4-46AC-967A-00393FE27E74}" presName="conn2-1" presStyleLbl="parChTrans1D3" presStyleIdx="0" presStyleCnt="9"/>
      <dgm:spPr/>
      <dgm:t>
        <a:bodyPr/>
        <a:lstStyle/>
        <a:p>
          <a:endParaRPr lang="de-DE"/>
        </a:p>
      </dgm:t>
    </dgm:pt>
    <dgm:pt modelId="{31307222-367D-46E7-9155-AE38A3678DBE}" type="pres">
      <dgm:prSet presAssocID="{05B5EC1C-6EA4-46AC-967A-00393FE27E74}" presName="connTx" presStyleLbl="parChTrans1D3" presStyleIdx="0" presStyleCnt="9"/>
      <dgm:spPr/>
      <dgm:t>
        <a:bodyPr/>
        <a:lstStyle/>
        <a:p>
          <a:endParaRPr lang="de-DE"/>
        </a:p>
      </dgm:t>
    </dgm:pt>
    <dgm:pt modelId="{8BE84FA3-2C84-499A-AB96-5624BCFB3F55}" type="pres">
      <dgm:prSet presAssocID="{54DBA01B-9DF1-4FF4-97E3-DDEC3F7665A0}" presName="root2" presStyleCnt="0"/>
      <dgm:spPr/>
    </dgm:pt>
    <dgm:pt modelId="{31912253-51B7-47A7-8C62-740BFEE5A0A9}" type="pres">
      <dgm:prSet presAssocID="{54DBA01B-9DF1-4FF4-97E3-DDEC3F7665A0}" presName="LevelTwoTextNode" presStyleLbl="node3" presStyleIdx="0" presStyleCnt="9" custScaleX="135147">
        <dgm:presLayoutVars>
          <dgm:chPref val="3"/>
        </dgm:presLayoutVars>
      </dgm:prSet>
      <dgm:spPr/>
      <dgm:t>
        <a:bodyPr/>
        <a:lstStyle/>
        <a:p>
          <a:endParaRPr lang="de-DE"/>
        </a:p>
      </dgm:t>
    </dgm:pt>
    <dgm:pt modelId="{922C00B5-468A-487E-BB6D-65F173A80E0F}" type="pres">
      <dgm:prSet presAssocID="{54DBA01B-9DF1-4FF4-97E3-DDEC3F7665A0}" presName="level3hierChild" presStyleCnt="0"/>
      <dgm:spPr/>
    </dgm:pt>
    <dgm:pt modelId="{5140B7C1-DB3E-4E21-A5E5-7A0F123BFD3E}" type="pres">
      <dgm:prSet presAssocID="{35FF1D04-A7D8-4611-BCEC-FFC31E356F13}" presName="conn2-1" presStyleLbl="parChTrans1D3" presStyleIdx="1" presStyleCnt="9"/>
      <dgm:spPr/>
      <dgm:t>
        <a:bodyPr/>
        <a:lstStyle/>
        <a:p>
          <a:endParaRPr lang="de-DE"/>
        </a:p>
      </dgm:t>
    </dgm:pt>
    <dgm:pt modelId="{AA14641A-F70A-4382-8DE9-EB2DDF582B4D}" type="pres">
      <dgm:prSet presAssocID="{35FF1D04-A7D8-4611-BCEC-FFC31E356F13}" presName="connTx" presStyleLbl="parChTrans1D3" presStyleIdx="1" presStyleCnt="9"/>
      <dgm:spPr/>
      <dgm:t>
        <a:bodyPr/>
        <a:lstStyle/>
        <a:p>
          <a:endParaRPr lang="de-DE"/>
        </a:p>
      </dgm:t>
    </dgm:pt>
    <dgm:pt modelId="{CE30F11D-3430-4CEF-899A-F8BEEA831C61}" type="pres">
      <dgm:prSet presAssocID="{AE6C7837-F194-4BB6-BDFF-8ADFAFC7AB86}" presName="root2" presStyleCnt="0"/>
      <dgm:spPr/>
    </dgm:pt>
    <dgm:pt modelId="{A4A90BBF-269C-4815-955C-974F20BB34BA}" type="pres">
      <dgm:prSet presAssocID="{AE6C7837-F194-4BB6-BDFF-8ADFAFC7AB86}" presName="LevelTwoTextNode" presStyleLbl="node3" presStyleIdx="1" presStyleCnt="9" custScaleX="135147">
        <dgm:presLayoutVars>
          <dgm:chPref val="3"/>
        </dgm:presLayoutVars>
      </dgm:prSet>
      <dgm:spPr/>
      <dgm:t>
        <a:bodyPr/>
        <a:lstStyle/>
        <a:p>
          <a:endParaRPr lang="de-DE"/>
        </a:p>
      </dgm:t>
    </dgm:pt>
    <dgm:pt modelId="{D29629E5-B1A9-427B-9596-DD797C69E89A}" type="pres">
      <dgm:prSet presAssocID="{AE6C7837-F194-4BB6-BDFF-8ADFAFC7AB86}" presName="level3hierChild" presStyleCnt="0"/>
      <dgm:spPr/>
    </dgm:pt>
    <dgm:pt modelId="{533132D1-FB2D-4FA6-BD2B-EB939C439AAA}" type="pres">
      <dgm:prSet presAssocID="{0F9E3E6B-B822-4468-BFBE-B6860394F967}" presName="conn2-1" presStyleLbl="parChTrans1D4" presStyleIdx="0" presStyleCnt="4"/>
      <dgm:spPr/>
      <dgm:t>
        <a:bodyPr/>
        <a:lstStyle/>
        <a:p>
          <a:endParaRPr lang="de-DE"/>
        </a:p>
      </dgm:t>
    </dgm:pt>
    <dgm:pt modelId="{7F1F880D-C5E8-4342-AA7F-AD24C370C84B}" type="pres">
      <dgm:prSet presAssocID="{0F9E3E6B-B822-4468-BFBE-B6860394F967}" presName="connTx" presStyleLbl="parChTrans1D4" presStyleIdx="0" presStyleCnt="4"/>
      <dgm:spPr/>
      <dgm:t>
        <a:bodyPr/>
        <a:lstStyle/>
        <a:p>
          <a:endParaRPr lang="de-DE"/>
        </a:p>
      </dgm:t>
    </dgm:pt>
    <dgm:pt modelId="{9F489A00-68A2-4FAB-818D-8FFDA6BAE5BB}" type="pres">
      <dgm:prSet presAssocID="{3E69A0E6-FD6D-43B5-BE0E-25B24877C029}" presName="root2" presStyleCnt="0"/>
      <dgm:spPr/>
    </dgm:pt>
    <dgm:pt modelId="{95C32227-89D0-4820-81C8-53FC38CFCC49}" type="pres">
      <dgm:prSet presAssocID="{3E69A0E6-FD6D-43B5-BE0E-25B24877C029}" presName="LevelTwoTextNode" presStyleLbl="node4" presStyleIdx="0" presStyleCnt="4">
        <dgm:presLayoutVars>
          <dgm:chPref val="3"/>
        </dgm:presLayoutVars>
      </dgm:prSet>
      <dgm:spPr/>
      <dgm:t>
        <a:bodyPr/>
        <a:lstStyle/>
        <a:p>
          <a:endParaRPr lang="de-DE"/>
        </a:p>
      </dgm:t>
    </dgm:pt>
    <dgm:pt modelId="{82A61237-F83F-4EF9-B1C1-78062E1DCEFA}" type="pres">
      <dgm:prSet presAssocID="{3E69A0E6-FD6D-43B5-BE0E-25B24877C029}" presName="level3hierChild" presStyleCnt="0"/>
      <dgm:spPr/>
    </dgm:pt>
    <dgm:pt modelId="{F4939184-5195-4783-B371-207438F13A0E}" type="pres">
      <dgm:prSet presAssocID="{9D0268EA-4742-472B-8173-C990A17025AB}" presName="conn2-1" presStyleLbl="parChTrans1D4" presStyleIdx="1" presStyleCnt="4"/>
      <dgm:spPr/>
      <dgm:t>
        <a:bodyPr/>
        <a:lstStyle/>
        <a:p>
          <a:endParaRPr lang="de-DE"/>
        </a:p>
      </dgm:t>
    </dgm:pt>
    <dgm:pt modelId="{87FA053D-034F-48F7-863C-8399480A5F87}" type="pres">
      <dgm:prSet presAssocID="{9D0268EA-4742-472B-8173-C990A17025AB}" presName="connTx" presStyleLbl="parChTrans1D4" presStyleIdx="1" presStyleCnt="4"/>
      <dgm:spPr/>
      <dgm:t>
        <a:bodyPr/>
        <a:lstStyle/>
        <a:p>
          <a:endParaRPr lang="de-DE"/>
        </a:p>
      </dgm:t>
    </dgm:pt>
    <dgm:pt modelId="{4CB42C75-20C0-4A9F-B40B-F0EF6FAD2782}" type="pres">
      <dgm:prSet presAssocID="{7F68FB70-1182-4A87-81A6-F5FABF56BD9E}" presName="root2" presStyleCnt="0"/>
      <dgm:spPr/>
    </dgm:pt>
    <dgm:pt modelId="{A241AD21-923C-46B9-84B4-8EEFE0782536}" type="pres">
      <dgm:prSet presAssocID="{7F68FB70-1182-4A87-81A6-F5FABF56BD9E}" presName="LevelTwoTextNode" presStyleLbl="node4" presStyleIdx="1" presStyleCnt="4">
        <dgm:presLayoutVars>
          <dgm:chPref val="3"/>
        </dgm:presLayoutVars>
      </dgm:prSet>
      <dgm:spPr/>
      <dgm:t>
        <a:bodyPr/>
        <a:lstStyle/>
        <a:p>
          <a:endParaRPr lang="de-DE"/>
        </a:p>
      </dgm:t>
    </dgm:pt>
    <dgm:pt modelId="{CA87E897-F42E-49A1-9D62-80682D7F1885}" type="pres">
      <dgm:prSet presAssocID="{7F68FB70-1182-4A87-81A6-F5FABF56BD9E}" presName="level3hierChild" presStyleCnt="0"/>
      <dgm:spPr/>
    </dgm:pt>
    <dgm:pt modelId="{24509835-EA83-4436-8435-40C6C871F49A}" type="pres">
      <dgm:prSet presAssocID="{82C58E32-6993-4E9A-8B60-F3E49C5487DE}" presName="conn2-1" presStyleLbl="parChTrans1D3" presStyleIdx="2" presStyleCnt="9"/>
      <dgm:spPr/>
      <dgm:t>
        <a:bodyPr/>
        <a:lstStyle/>
        <a:p>
          <a:endParaRPr lang="de-DE"/>
        </a:p>
      </dgm:t>
    </dgm:pt>
    <dgm:pt modelId="{1D8F9B7D-E27F-468B-808F-069D3841E825}" type="pres">
      <dgm:prSet presAssocID="{82C58E32-6993-4E9A-8B60-F3E49C5487DE}" presName="connTx" presStyleLbl="parChTrans1D3" presStyleIdx="2" presStyleCnt="9"/>
      <dgm:spPr/>
      <dgm:t>
        <a:bodyPr/>
        <a:lstStyle/>
        <a:p>
          <a:endParaRPr lang="de-DE"/>
        </a:p>
      </dgm:t>
    </dgm:pt>
    <dgm:pt modelId="{542D438B-47FD-4A6B-B998-C6FCEA9DE6F1}" type="pres">
      <dgm:prSet presAssocID="{040F5098-D6B7-453C-8C03-BC80B776D000}" presName="root2" presStyleCnt="0"/>
      <dgm:spPr/>
    </dgm:pt>
    <dgm:pt modelId="{DCA09555-6C52-4E6D-843F-DAB05ADC9750}" type="pres">
      <dgm:prSet presAssocID="{040F5098-D6B7-453C-8C03-BC80B776D000}" presName="LevelTwoTextNode" presStyleLbl="node3" presStyleIdx="2" presStyleCnt="9" custScaleX="135147">
        <dgm:presLayoutVars>
          <dgm:chPref val="3"/>
        </dgm:presLayoutVars>
      </dgm:prSet>
      <dgm:spPr/>
      <dgm:t>
        <a:bodyPr/>
        <a:lstStyle/>
        <a:p>
          <a:endParaRPr lang="de-DE"/>
        </a:p>
      </dgm:t>
    </dgm:pt>
    <dgm:pt modelId="{BEFF46E0-0DDD-43CF-94E6-778900CCFDA9}" type="pres">
      <dgm:prSet presAssocID="{040F5098-D6B7-453C-8C03-BC80B776D000}" presName="level3hierChild" presStyleCnt="0"/>
      <dgm:spPr/>
    </dgm:pt>
    <dgm:pt modelId="{F5E15C9E-D866-4D76-BEEB-AE1FD6AD3175}" type="pres">
      <dgm:prSet presAssocID="{612B724A-D664-4EC0-9CAC-F95C36CAA5F7}" presName="conn2-1" presStyleLbl="parChTrans1D3" presStyleIdx="3" presStyleCnt="9"/>
      <dgm:spPr/>
      <dgm:t>
        <a:bodyPr/>
        <a:lstStyle/>
        <a:p>
          <a:endParaRPr lang="de-DE"/>
        </a:p>
      </dgm:t>
    </dgm:pt>
    <dgm:pt modelId="{3DFE8BA4-339A-4F78-A6BE-4B43AA8462A5}" type="pres">
      <dgm:prSet presAssocID="{612B724A-D664-4EC0-9CAC-F95C36CAA5F7}" presName="connTx" presStyleLbl="parChTrans1D3" presStyleIdx="3" presStyleCnt="9"/>
      <dgm:spPr/>
      <dgm:t>
        <a:bodyPr/>
        <a:lstStyle/>
        <a:p>
          <a:endParaRPr lang="de-DE"/>
        </a:p>
      </dgm:t>
    </dgm:pt>
    <dgm:pt modelId="{0ACE8635-7450-4548-A9F4-5A22BF0EFF47}" type="pres">
      <dgm:prSet presAssocID="{20B30C54-DDE4-4508-8A16-960FC4B36442}" presName="root2" presStyleCnt="0"/>
      <dgm:spPr/>
    </dgm:pt>
    <dgm:pt modelId="{7F6B7BAC-3DEA-4CEE-9318-6BFA3245BB98}" type="pres">
      <dgm:prSet presAssocID="{20B30C54-DDE4-4508-8A16-960FC4B36442}" presName="LevelTwoTextNode" presStyleLbl="node3" presStyleIdx="3" presStyleCnt="9" custScaleX="135147">
        <dgm:presLayoutVars>
          <dgm:chPref val="3"/>
        </dgm:presLayoutVars>
      </dgm:prSet>
      <dgm:spPr/>
      <dgm:t>
        <a:bodyPr/>
        <a:lstStyle/>
        <a:p>
          <a:endParaRPr lang="de-DE"/>
        </a:p>
      </dgm:t>
    </dgm:pt>
    <dgm:pt modelId="{DBEA093A-EA0F-40F0-8FDE-669823F56F41}" type="pres">
      <dgm:prSet presAssocID="{20B30C54-DDE4-4508-8A16-960FC4B36442}" presName="level3hierChild" presStyleCnt="0"/>
      <dgm:spPr/>
    </dgm:pt>
    <dgm:pt modelId="{9E91FAF4-CF88-4FC9-B8A7-87A96B8BFD3E}" type="pres">
      <dgm:prSet presAssocID="{7155E1A7-5E4B-4BE1-A49C-92A43D88BD53}" presName="conn2-1" presStyleLbl="parChTrans1D3" presStyleIdx="4" presStyleCnt="9"/>
      <dgm:spPr/>
      <dgm:t>
        <a:bodyPr/>
        <a:lstStyle/>
        <a:p>
          <a:endParaRPr lang="de-DE"/>
        </a:p>
      </dgm:t>
    </dgm:pt>
    <dgm:pt modelId="{C17956EA-BAFA-456C-855D-CBA7AEC29A74}" type="pres">
      <dgm:prSet presAssocID="{7155E1A7-5E4B-4BE1-A49C-92A43D88BD53}" presName="connTx" presStyleLbl="parChTrans1D3" presStyleIdx="4" presStyleCnt="9"/>
      <dgm:spPr/>
      <dgm:t>
        <a:bodyPr/>
        <a:lstStyle/>
        <a:p>
          <a:endParaRPr lang="de-DE"/>
        </a:p>
      </dgm:t>
    </dgm:pt>
    <dgm:pt modelId="{89107E71-2D22-4DDA-A5D6-ADACB99B3CCD}" type="pres">
      <dgm:prSet presAssocID="{4EA12F97-60F1-4FEC-B301-27335FFA232F}" presName="root2" presStyleCnt="0"/>
      <dgm:spPr/>
    </dgm:pt>
    <dgm:pt modelId="{CA604AF3-81AF-44D2-A301-BF0DB597D744}" type="pres">
      <dgm:prSet presAssocID="{4EA12F97-60F1-4FEC-B301-27335FFA232F}" presName="LevelTwoTextNode" presStyleLbl="node3" presStyleIdx="4" presStyleCnt="9" custScaleX="135147">
        <dgm:presLayoutVars>
          <dgm:chPref val="3"/>
        </dgm:presLayoutVars>
      </dgm:prSet>
      <dgm:spPr/>
      <dgm:t>
        <a:bodyPr/>
        <a:lstStyle/>
        <a:p>
          <a:endParaRPr lang="de-DE"/>
        </a:p>
      </dgm:t>
    </dgm:pt>
    <dgm:pt modelId="{A3E98C11-AB70-4E2B-A07F-270420391795}" type="pres">
      <dgm:prSet presAssocID="{4EA12F97-60F1-4FEC-B301-27335FFA232F}" presName="level3hierChild" presStyleCnt="0"/>
      <dgm:spPr/>
    </dgm:pt>
    <dgm:pt modelId="{8D02B593-B800-4065-8B28-4CA32DD3C192}" type="pres">
      <dgm:prSet presAssocID="{B2F6AD3A-E296-4B72-82C3-3B4791304ECE}" presName="conn2-1" presStyleLbl="parChTrans1D3" presStyleIdx="5" presStyleCnt="9"/>
      <dgm:spPr/>
      <dgm:t>
        <a:bodyPr/>
        <a:lstStyle/>
        <a:p>
          <a:endParaRPr lang="de-DE"/>
        </a:p>
      </dgm:t>
    </dgm:pt>
    <dgm:pt modelId="{2D06F5C8-4D18-4E3E-815C-B796F1C5D060}" type="pres">
      <dgm:prSet presAssocID="{B2F6AD3A-E296-4B72-82C3-3B4791304ECE}" presName="connTx" presStyleLbl="parChTrans1D3" presStyleIdx="5" presStyleCnt="9"/>
      <dgm:spPr/>
      <dgm:t>
        <a:bodyPr/>
        <a:lstStyle/>
        <a:p>
          <a:endParaRPr lang="de-DE"/>
        </a:p>
      </dgm:t>
    </dgm:pt>
    <dgm:pt modelId="{527AEF51-767F-44CF-96DA-CA0800FF8A83}" type="pres">
      <dgm:prSet presAssocID="{6B7E4FC7-AD38-4211-8099-6920826476FF}" presName="root2" presStyleCnt="0"/>
      <dgm:spPr/>
    </dgm:pt>
    <dgm:pt modelId="{E2E9EB91-8CD4-4746-9E3A-D629E6426938}" type="pres">
      <dgm:prSet presAssocID="{6B7E4FC7-AD38-4211-8099-6920826476FF}" presName="LevelTwoTextNode" presStyleLbl="node3" presStyleIdx="5" presStyleCnt="9" custScaleX="135147">
        <dgm:presLayoutVars>
          <dgm:chPref val="3"/>
        </dgm:presLayoutVars>
      </dgm:prSet>
      <dgm:spPr/>
      <dgm:t>
        <a:bodyPr/>
        <a:lstStyle/>
        <a:p>
          <a:endParaRPr lang="de-DE"/>
        </a:p>
      </dgm:t>
    </dgm:pt>
    <dgm:pt modelId="{AF955CF3-E966-4483-906F-C5F97DE1A586}" type="pres">
      <dgm:prSet presAssocID="{6B7E4FC7-AD38-4211-8099-6920826476FF}" presName="level3hierChild" presStyleCnt="0"/>
      <dgm:spPr/>
    </dgm:pt>
    <dgm:pt modelId="{4521099D-48E1-454B-A556-DC200F628993}" type="pres">
      <dgm:prSet presAssocID="{78048003-7ACB-4850-9640-BE650D300E06}" presName="conn2-1" presStyleLbl="parChTrans1D4" presStyleIdx="2" presStyleCnt="4"/>
      <dgm:spPr/>
      <dgm:t>
        <a:bodyPr/>
        <a:lstStyle/>
        <a:p>
          <a:endParaRPr lang="de-DE"/>
        </a:p>
      </dgm:t>
    </dgm:pt>
    <dgm:pt modelId="{20A6FF54-0AB2-4DD3-AF77-23056E155B79}" type="pres">
      <dgm:prSet presAssocID="{78048003-7ACB-4850-9640-BE650D300E06}" presName="connTx" presStyleLbl="parChTrans1D4" presStyleIdx="2" presStyleCnt="4"/>
      <dgm:spPr/>
      <dgm:t>
        <a:bodyPr/>
        <a:lstStyle/>
        <a:p>
          <a:endParaRPr lang="de-DE"/>
        </a:p>
      </dgm:t>
    </dgm:pt>
    <dgm:pt modelId="{2EFE5329-EDD2-4E31-A097-FE482E7BFC35}" type="pres">
      <dgm:prSet presAssocID="{86B6C03A-40A3-4993-A46D-DFF79C647281}" presName="root2" presStyleCnt="0"/>
      <dgm:spPr/>
    </dgm:pt>
    <dgm:pt modelId="{B230355E-489A-4D41-8014-9CF3EA1EB3BF}" type="pres">
      <dgm:prSet presAssocID="{86B6C03A-40A3-4993-A46D-DFF79C647281}" presName="LevelTwoTextNode" presStyleLbl="node4" presStyleIdx="2" presStyleCnt="4">
        <dgm:presLayoutVars>
          <dgm:chPref val="3"/>
        </dgm:presLayoutVars>
      </dgm:prSet>
      <dgm:spPr/>
      <dgm:t>
        <a:bodyPr/>
        <a:lstStyle/>
        <a:p>
          <a:endParaRPr lang="de-DE"/>
        </a:p>
      </dgm:t>
    </dgm:pt>
    <dgm:pt modelId="{C22B9C84-3F44-4140-9A0B-A8AFABDE8F45}" type="pres">
      <dgm:prSet presAssocID="{86B6C03A-40A3-4993-A46D-DFF79C647281}" presName="level3hierChild" presStyleCnt="0"/>
      <dgm:spPr/>
    </dgm:pt>
    <dgm:pt modelId="{5DA137DA-DF59-409D-B579-425029F496FE}" type="pres">
      <dgm:prSet presAssocID="{C8A53938-56D3-45A1-B98E-C8E5D64B251D}" presName="conn2-1" presStyleLbl="parChTrans1D4" presStyleIdx="3" presStyleCnt="4"/>
      <dgm:spPr/>
      <dgm:t>
        <a:bodyPr/>
        <a:lstStyle/>
        <a:p>
          <a:endParaRPr lang="de-DE"/>
        </a:p>
      </dgm:t>
    </dgm:pt>
    <dgm:pt modelId="{9F76AE82-0001-41E9-912A-475C5FB5E7FE}" type="pres">
      <dgm:prSet presAssocID="{C8A53938-56D3-45A1-B98E-C8E5D64B251D}" presName="connTx" presStyleLbl="parChTrans1D4" presStyleIdx="3" presStyleCnt="4"/>
      <dgm:spPr/>
      <dgm:t>
        <a:bodyPr/>
        <a:lstStyle/>
        <a:p>
          <a:endParaRPr lang="de-DE"/>
        </a:p>
      </dgm:t>
    </dgm:pt>
    <dgm:pt modelId="{79AA392B-8756-49B3-BA73-94008DEB2A6C}" type="pres">
      <dgm:prSet presAssocID="{13183FD7-42CB-4688-950E-F7912ABF64B9}" presName="root2" presStyleCnt="0"/>
      <dgm:spPr/>
    </dgm:pt>
    <dgm:pt modelId="{2D38B86E-E337-4782-AC84-D624960B4626}" type="pres">
      <dgm:prSet presAssocID="{13183FD7-42CB-4688-950E-F7912ABF64B9}" presName="LevelTwoTextNode" presStyleLbl="node4" presStyleIdx="3" presStyleCnt="4">
        <dgm:presLayoutVars>
          <dgm:chPref val="3"/>
        </dgm:presLayoutVars>
      </dgm:prSet>
      <dgm:spPr/>
      <dgm:t>
        <a:bodyPr/>
        <a:lstStyle/>
        <a:p>
          <a:endParaRPr lang="de-DE"/>
        </a:p>
      </dgm:t>
    </dgm:pt>
    <dgm:pt modelId="{C95FD4B9-4290-47C7-A778-2FED85743FF7}" type="pres">
      <dgm:prSet presAssocID="{13183FD7-42CB-4688-950E-F7912ABF64B9}" presName="level3hierChild" presStyleCnt="0"/>
      <dgm:spPr/>
    </dgm:pt>
    <dgm:pt modelId="{712E780D-3101-491C-8C59-D8AE291B1A78}" type="pres">
      <dgm:prSet presAssocID="{79903C46-3A15-4AA6-8CD9-B8A6AC4AC50E}" presName="conn2-1" presStyleLbl="parChTrans1D2" presStyleIdx="1" presStyleCnt="2"/>
      <dgm:spPr/>
      <dgm:t>
        <a:bodyPr/>
        <a:lstStyle/>
        <a:p>
          <a:endParaRPr lang="de-DE"/>
        </a:p>
      </dgm:t>
    </dgm:pt>
    <dgm:pt modelId="{5429047F-A13A-4CD1-8C0F-56F0DF3C7A98}" type="pres">
      <dgm:prSet presAssocID="{79903C46-3A15-4AA6-8CD9-B8A6AC4AC50E}" presName="connTx" presStyleLbl="parChTrans1D2" presStyleIdx="1" presStyleCnt="2"/>
      <dgm:spPr/>
      <dgm:t>
        <a:bodyPr/>
        <a:lstStyle/>
        <a:p>
          <a:endParaRPr lang="de-DE"/>
        </a:p>
      </dgm:t>
    </dgm:pt>
    <dgm:pt modelId="{93204042-FAB0-447B-9AC4-02B0BF199FD1}" type="pres">
      <dgm:prSet presAssocID="{7D461C33-635A-4AA3-A46C-C628467CDDD7}" presName="root2" presStyleCnt="0"/>
      <dgm:spPr/>
    </dgm:pt>
    <dgm:pt modelId="{D4F14A88-87F8-46A7-A563-C731355723E4}" type="pres">
      <dgm:prSet presAssocID="{7D461C33-635A-4AA3-A46C-C628467CDDD7}" presName="LevelTwoTextNode" presStyleLbl="node2" presStyleIdx="1" presStyleCnt="2" custScaleY="131681" custLinFactNeighborX="347" custLinFactNeighborY="2776">
        <dgm:presLayoutVars>
          <dgm:chPref val="3"/>
        </dgm:presLayoutVars>
      </dgm:prSet>
      <dgm:spPr/>
      <dgm:t>
        <a:bodyPr/>
        <a:lstStyle/>
        <a:p>
          <a:endParaRPr lang="de-DE"/>
        </a:p>
      </dgm:t>
    </dgm:pt>
    <dgm:pt modelId="{9E8A9679-763E-4ABA-8976-5467629E245D}" type="pres">
      <dgm:prSet presAssocID="{7D461C33-635A-4AA3-A46C-C628467CDDD7}" presName="level3hierChild" presStyleCnt="0"/>
      <dgm:spPr/>
    </dgm:pt>
    <dgm:pt modelId="{917ADD1D-96AB-40F2-8C74-376C23B883AC}" type="pres">
      <dgm:prSet presAssocID="{081630C8-F20F-4A18-9A67-B4202E29ECDA}" presName="conn2-1" presStyleLbl="parChTrans1D3" presStyleIdx="6" presStyleCnt="9"/>
      <dgm:spPr/>
      <dgm:t>
        <a:bodyPr/>
        <a:lstStyle/>
        <a:p>
          <a:endParaRPr lang="de-DE"/>
        </a:p>
      </dgm:t>
    </dgm:pt>
    <dgm:pt modelId="{2361968B-9186-421A-9F94-82BE28FF496E}" type="pres">
      <dgm:prSet presAssocID="{081630C8-F20F-4A18-9A67-B4202E29ECDA}" presName="connTx" presStyleLbl="parChTrans1D3" presStyleIdx="6" presStyleCnt="9"/>
      <dgm:spPr/>
      <dgm:t>
        <a:bodyPr/>
        <a:lstStyle/>
        <a:p>
          <a:endParaRPr lang="de-DE"/>
        </a:p>
      </dgm:t>
    </dgm:pt>
    <dgm:pt modelId="{DE48C502-EF98-47DA-B203-B40E84AD656F}" type="pres">
      <dgm:prSet presAssocID="{BA8D92D3-B005-4ED8-A475-8D2CEC89BE96}" presName="root2" presStyleCnt="0"/>
      <dgm:spPr/>
    </dgm:pt>
    <dgm:pt modelId="{5512C0F9-772A-41FF-8B9E-521AE76E0111}" type="pres">
      <dgm:prSet presAssocID="{BA8D92D3-B005-4ED8-A475-8D2CEC89BE96}" presName="LevelTwoTextNode" presStyleLbl="node3" presStyleIdx="6" presStyleCnt="9" custScaleX="135147">
        <dgm:presLayoutVars>
          <dgm:chPref val="3"/>
        </dgm:presLayoutVars>
      </dgm:prSet>
      <dgm:spPr/>
      <dgm:t>
        <a:bodyPr/>
        <a:lstStyle/>
        <a:p>
          <a:endParaRPr lang="de-DE"/>
        </a:p>
      </dgm:t>
    </dgm:pt>
    <dgm:pt modelId="{4775A076-F7C9-4445-822D-29E1406026EC}" type="pres">
      <dgm:prSet presAssocID="{BA8D92D3-B005-4ED8-A475-8D2CEC89BE96}" presName="level3hierChild" presStyleCnt="0"/>
      <dgm:spPr/>
    </dgm:pt>
    <dgm:pt modelId="{9FA8A87F-2642-411B-8172-CB9F3A690545}" type="pres">
      <dgm:prSet presAssocID="{EECC7238-5D11-4A09-8F2D-08818995D543}" presName="conn2-1" presStyleLbl="parChTrans1D3" presStyleIdx="7" presStyleCnt="9"/>
      <dgm:spPr/>
      <dgm:t>
        <a:bodyPr/>
        <a:lstStyle/>
        <a:p>
          <a:endParaRPr lang="de-DE"/>
        </a:p>
      </dgm:t>
    </dgm:pt>
    <dgm:pt modelId="{C74FB3B0-F835-404D-92DB-E5754222295A}" type="pres">
      <dgm:prSet presAssocID="{EECC7238-5D11-4A09-8F2D-08818995D543}" presName="connTx" presStyleLbl="parChTrans1D3" presStyleIdx="7" presStyleCnt="9"/>
      <dgm:spPr/>
      <dgm:t>
        <a:bodyPr/>
        <a:lstStyle/>
        <a:p>
          <a:endParaRPr lang="de-DE"/>
        </a:p>
      </dgm:t>
    </dgm:pt>
    <dgm:pt modelId="{E3CC4E39-3EDD-47F8-9547-C0046BABF75C}" type="pres">
      <dgm:prSet presAssocID="{4E3B9F33-B963-401A-9732-8E8F22D11DBA}" presName="root2" presStyleCnt="0"/>
      <dgm:spPr/>
    </dgm:pt>
    <dgm:pt modelId="{2567733E-111A-4263-A2B1-FC416BE85B17}" type="pres">
      <dgm:prSet presAssocID="{4E3B9F33-B963-401A-9732-8E8F22D11DBA}" presName="LevelTwoTextNode" presStyleLbl="node3" presStyleIdx="7" presStyleCnt="9" custScaleX="135089">
        <dgm:presLayoutVars>
          <dgm:chPref val="3"/>
        </dgm:presLayoutVars>
      </dgm:prSet>
      <dgm:spPr/>
      <dgm:t>
        <a:bodyPr/>
        <a:lstStyle/>
        <a:p>
          <a:endParaRPr lang="de-DE"/>
        </a:p>
      </dgm:t>
    </dgm:pt>
    <dgm:pt modelId="{4D78E144-FEE7-4C69-80E9-23531A5CD443}" type="pres">
      <dgm:prSet presAssocID="{4E3B9F33-B963-401A-9732-8E8F22D11DBA}" presName="level3hierChild" presStyleCnt="0"/>
      <dgm:spPr/>
    </dgm:pt>
    <dgm:pt modelId="{9E7517CC-C0B2-4D55-B3C4-A44E6C1C6434}" type="pres">
      <dgm:prSet presAssocID="{D83706B1-BA39-41B6-A8CC-4A04FB2BBD85}" presName="conn2-1" presStyleLbl="parChTrans1D3" presStyleIdx="8" presStyleCnt="9"/>
      <dgm:spPr/>
      <dgm:t>
        <a:bodyPr/>
        <a:lstStyle/>
        <a:p>
          <a:endParaRPr lang="de-DE"/>
        </a:p>
      </dgm:t>
    </dgm:pt>
    <dgm:pt modelId="{E27D1901-21F8-4E67-A447-F9041C3084E0}" type="pres">
      <dgm:prSet presAssocID="{D83706B1-BA39-41B6-A8CC-4A04FB2BBD85}" presName="connTx" presStyleLbl="parChTrans1D3" presStyleIdx="8" presStyleCnt="9"/>
      <dgm:spPr/>
      <dgm:t>
        <a:bodyPr/>
        <a:lstStyle/>
        <a:p>
          <a:endParaRPr lang="de-DE"/>
        </a:p>
      </dgm:t>
    </dgm:pt>
    <dgm:pt modelId="{00D4342C-C840-453A-9241-EFD01B4B3B8C}" type="pres">
      <dgm:prSet presAssocID="{54251BE1-6AA8-48E6-885F-9F7DFEEB237D}" presName="root2" presStyleCnt="0"/>
      <dgm:spPr/>
    </dgm:pt>
    <dgm:pt modelId="{30C67BFD-2341-4F0E-B322-673600E08139}" type="pres">
      <dgm:prSet presAssocID="{54251BE1-6AA8-48E6-885F-9F7DFEEB237D}" presName="LevelTwoTextNode" presStyleLbl="node3" presStyleIdx="8" presStyleCnt="9" custScaleX="135147">
        <dgm:presLayoutVars>
          <dgm:chPref val="3"/>
        </dgm:presLayoutVars>
      </dgm:prSet>
      <dgm:spPr/>
      <dgm:t>
        <a:bodyPr/>
        <a:lstStyle/>
        <a:p>
          <a:endParaRPr lang="de-DE"/>
        </a:p>
      </dgm:t>
    </dgm:pt>
    <dgm:pt modelId="{A5F22027-69FA-4657-A43C-CB549E7BA7F8}" type="pres">
      <dgm:prSet presAssocID="{54251BE1-6AA8-48E6-885F-9F7DFEEB237D}" presName="level3hierChild" presStyleCnt="0"/>
      <dgm:spPr/>
    </dgm:pt>
  </dgm:ptLst>
  <dgm:cxnLst>
    <dgm:cxn modelId="{BF9BC240-9876-43A1-B987-210105396C96}" type="presOf" srcId="{BE0944CD-4947-4F6B-BA69-166BA2C68B7C}" destId="{FA3158B0-EDE2-4B39-BC14-589CA845141C}" srcOrd="1" destOrd="0" presId="urn:microsoft.com/office/officeart/2005/8/layout/hierarchy2"/>
    <dgm:cxn modelId="{F8235BD0-93E0-4ED7-8E2F-9AF96FCFA50E}" srcId="{842D166E-0459-4C40-997D-AD832759BF59}" destId="{20B30C54-DDE4-4508-8A16-960FC4B36442}" srcOrd="3" destOrd="0" parTransId="{612B724A-D664-4EC0-9CAC-F95C36CAA5F7}" sibTransId="{DBF29D0D-6AFB-45FC-A9F5-CB3C35B28C3A}"/>
    <dgm:cxn modelId="{3C32DA3C-B03F-4108-95DB-1F941B037F2A}" srcId="{C06F18B9-29EA-48E0-988F-A96EFC0E3E75}" destId="{7D461C33-635A-4AA3-A46C-C628467CDDD7}" srcOrd="1" destOrd="0" parTransId="{79903C46-3A15-4AA6-8CD9-B8A6AC4AC50E}" sibTransId="{DDB69F0A-8D1A-48E6-A050-99BF8A0B2DDC}"/>
    <dgm:cxn modelId="{83913AFD-1687-4090-9873-B495237A30FA}" type="presOf" srcId="{20B30C54-DDE4-4508-8A16-960FC4B36442}" destId="{7F6B7BAC-3DEA-4CEE-9318-6BFA3245BB98}" srcOrd="0" destOrd="0" presId="urn:microsoft.com/office/officeart/2005/8/layout/hierarchy2"/>
    <dgm:cxn modelId="{92440311-2323-45F0-8B6F-20817AD72E61}" type="presOf" srcId="{79903C46-3A15-4AA6-8CD9-B8A6AC4AC50E}" destId="{712E780D-3101-491C-8C59-D8AE291B1A78}" srcOrd="0" destOrd="0" presId="urn:microsoft.com/office/officeart/2005/8/layout/hierarchy2"/>
    <dgm:cxn modelId="{F870E5E8-276A-4170-AF72-711D7CA7F33E}" type="presOf" srcId="{040F5098-D6B7-453C-8C03-BC80B776D000}" destId="{DCA09555-6C52-4E6D-843F-DAB05ADC9750}" srcOrd="0" destOrd="0" presId="urn:microsoft.com/office/officeart/2005/8/layout/hierarchy2"/>
    <dgm:cxn modelId="{9FB15AAC-9028-49CE-AF37-A5BB95A055FB}" type="presOf" srcId="{05B5EC1C-6EA4-46AC-967A-00393FE27E74}" destId="{31307222-367D-46E7-9155-AE38A3678DBE}" srcOrd="1" destOrd="0" presId="urn:microsoft.com/office/officeart/2005/8/layout/hierarchy2"/>
    <dgm:cxn modelId="{1403A0A9-40E9-4584-84BD-C4E9068B7C8E}" type="presOf" srcId="{35FF1D04-A7D8-4611-BCEC-FFC31E356F13}" destId="{AA14641A-F70A-4382-8DE9-EB2DDF582B4D}" srcOrd="1" destOrd="0" presId="urn:microsoft.com/office/officeart/2005/8/layout/hierarchy2"/>
    <dgm:cxn modelId="{0E12A901-A18B-4161-ACEA-70E014FBD5D5}" type="presOf" srcId="{081630C8-F20F-4A18-9A67-B4202E29ECDA}" destId="{2361968B-9186-421A-9F94-82BE28FF496E}" srcOrd="1" destOrd="0" presId="urn:microsoft.com/office/officeart/2005/8/layout/hierarchy2"/>
    <dgm:cxn modelId="{CCDDFBA0-EC85-43AD-9BDF-D1C4FB147B82}" srcId="{AE6C7837-F194-4BB6-BDFF-8ADFAFC7AB86}" destId="{3E69A0E6-FD6D-43B5-BE0E-25B24877C029}" srcOrd="0" destOrd="0" parTransId="{0F9E3E6B-B822-4468-BFBE-B6860394F967}" sibTransId="{C60A4B31-BF49-45E6-BE28-BB791BAD28A1}"/>
    <dgm:cxn modelId="{63079A38-41FF-454E-AEBB-8D7BF588E4D7}" type="presOf" srcId="{78048003-7ACB-4850-9640-BE650D300E06}" destId="{4521099D-48E1-454B-A556-DC200F628993}" srcOrd="0" destOrd="0" presId="urn:microsoft.com/office/officeart/2005/8/layout/hierarchy2"/>
    <dgm:cxn modelId="{13089D51-7B61-4A4E-8392-45290CFCA637}" type="presOf" srcId="{B2F6AD3A-E296-4B72-82C3-3B4791304ECE}" destId="{8D02B593-B800-4065-8B28-4CA32DD3C192}" srcOrd="0" destOrd="0" presId="urn:microsoft.com/office/officeart/2005/8/layout/hierarchy2"/>
    <dgm:cxn modelId="{7A421CBC-B888-4464-8655-31E855783B3B}" type="presOf" srcId="{612B724A-D664-4EC0-9CAC-F95C36CAA5F7}" destId="{F5E15C9E-D866-4D76-BEEB-AE1FD6AD3175}" srcOrd="0" destOrd="0" presId="urn:microsoft.com/office/officeart/2005/8/layout/hierarchy2"/>
    <dgm:cxn modelId="{6150A5F0-02E7-4347-9A21-EB502310280A}" type="presOf" srcId="{EECC7238-5D11-4A09-8F2D-08818995D543}" destId="{C74FB3B0-F835-404D-92DB-E5754222295A}" srcOrd="1" destOrd="0" presId="urn:microsoft.com/office/officeart/2005/8/layout/hierarchy2"/>
    <dgm:cxn modelId="{DD0FFB1E-E939-4983-BBD7-0DA3A8BC42C7}" type="presOf" srcId="{612B724A-D664-4EC0-9CAC-F95C36CAA5F7}" destId="{3DFE8BA4-339A-4F78-A6BE-4B43AA8462A5}" srcOrd="1" destOrd="0" presId="urn:microsoft.com/office/officeart/2005/8/layout/hierarchy2"/>
    <dgm:cxn modelId="{F3B1DD34-2F85-4582-9963-78FCEFFAF1F3}" type="presOf" srcId="{9A511400-9C08-4339-A219-65F6AD32B33D}" destId="{2D1F44ED-B2A9-404E-AE21-ABEF8C738C45}" srcOrd="0" destOrd="0" presId="urn:microsoft.com/office/officeart/2005/8/layout/hierarchy2"/>
    <dgm:cxn modelId="{B312D75F-9F7D-4C22-A51B-75CF88A97D6E}" type="presOf" srcId="{C8A53938-56D3-45A1-B98E-C8E5D64B251D}" destId="{9F76AE82-0001-41E9-912A-475C5FB5E7FE}" srcOrd="1" destOrd="0" presId="urn:microsoft.com/office/officeart/2005/8/layout/hierarchy2"/>
    <dgm:cxn modelId="{7BED167D-59B6-4F07-8F72-81D58F056714}" type="presOf" srcId="{081630C8-F20F-4A18-9A67-B4202E29ECDA}" destId="{917ADD1D-96AB-40F2-8C74-376C23B883AC}" srcOrd="0" destOrd="0" presId="urn:microsoft.com/office/officeart/2005/8/layout/hierarchy2"/>
    <dgm:cxn modelId="{4C1AFEFB-95FA-46E0-8C45-7A9F2B19845C}" type="presOf" srcId="{3E69A0E6-FD6D-43B5-BE0E-25B24877C029}" destId="{95C32227-89D0-4820-81C8-53FC38CFCC49}" srcOrd="0" destOrd="0" presId="urn:microsoft.com/office/officeart/2005/8/layout/hierarchy2"/>
    <dgm:cxn modelId="{1C67CDE1-822A-424D-B642-C1DBC4323719}" type="presOf" srcId="{AE6C7837-F194-4BB6-BDFF-8ADFAFC7AB86}" destId="{A4A90BBF-269C-4815-955C-974F20BB34BA}" srcOrd="0" destOrd="0" presId="urn:microsoft.com/office/officeart/2005/8/layout/hierarchy2"/>
    <dgm:cxn modelId="{B577278C-2904-4111-9E55-34BA794FACC0}" type="presOf" srcId="{78048003-7ACB-4850-9640-BE650D300E06}" destId="{20A6FF54-0AB2-4DD3-AF77-23056E155B79}" srcOrd="1" destOrd="0" presId="urn:microsoft.com/office/officeart/2005/8/layout/hierarchy2"/>
    <dgm:cxn modelId="{4DC375C7-78D6-4ECD-A3D7-39766A2C0235}" srcId="{AE6C7837-F194-4BB6-BDFF-8ADFAFC7AB86}" destId="{7F68FB70-1182-4A87-81A6-F5FABF56BD9E}" srcOrd="1" destOrd="0" parTransId="{9D0268EA-4742-472B-8173-C990A17025AB}" sibTransId="{FE260072-6328-4029-9003-46445C48D210}"/>
    <dgm:cxn modelId="{FB10E6AB-98CE-4CB2-BBCD-DCA4077ED147}" srcId="{842D166E-0459-4C40-997D-AD832759BF59}" destId="{4EA12F97-60F1-4FEC-B301-27335FFA232F}" srcOrd="4" destOrd="0" parTransId="{7155E1A7-5E4B-4BE1-A49C-92A43D88BD53}" sibTransId="{DD067D9F-8797-4B2A-8102-0C4B493B05D2}"/>
    <dgm:cxn modelId="{8FC43FA3-4CC7-4592-B949-B8754D3459D1}" type="presOf" srcId="{13183FD7-42CB-4688-950E-F7912ABF64B9}" destId="{2D38B86E-E337-4782-AC84-D624960B4626}" srcOrd="0" destOrd="0" presId="urn:microsoft.com/office/officeart/2005/8/layout/hierarchy2"/>
    <dgm:cxn modelId="{70C904AE-83C5-4BBB-B29D-0BF205BFAE29}" type="presOf" srcId="{EECC7238-5D11-4A09-8F2D-08818995D543}" destId="{9FA8A87F-2642-411B-8172-CB9F3A690545}" srcOrd="0" destOrd="0" presId="urn:microsoft.com/office/officeart/2005/8/layout/hierarchy2"/>
    <dgm:cxn modelId="{11F0D4AC-943A-4745-B469-D7C005A39F07}" type="presOf" srcId="{C8A53938-56D3-45A1-B98E-C8E5D64B251D}" destId="{5DA137DA-DF59-409D-B579-425029F496FE}" srcOrd="0" destOrd="0" presId="urn:microsoft.com/office/officeart/2005/8/layout/hierarchy2"/>
    <dgm:cxn modelId="{07ADFC13-EF96-4E4F-9BF9-C9ED864BB82B}" type="presOf" srcId="{BE0944CD-4947-4F6B-BA69-166BA2C68B7C}" destId="{E73AADB9-1187-48CB-BC58-F279B1E988B5}" srcOrd="0" destOrd="0" presId="urn:microsoft.com/office/officeart/2005/8/layout/hierarchy2"/>
    <dgm:cxn modelId="{F88B203D-2DDB-4106-AE9D-5D4CEB591244}" type="presOf" srcId="{54251BE1-6AA8-48E6-885F-9F7DFEEB237D}" destId="{30C67BFD-2341-4F0E-B322-673600E08139}" srcOrd="0" destOrd="0" presId="urn:microsoft.com/office/officeart/2005/8/layout/hierarchy2"/>
    <dgm:cxn modelId="{F54A6380-3629-4245-8FFA-ACF223CD94E3}" type="presOf" srcId="{05B5EC1C-6EA4-46AC-967A-00393FE27E74}" destId="{B95C41F5-4D98-406D-9C70-BEE07CD7ADD7}" srcOrd="0" destOrd="0" presId="urn:microsoft.com/office/officeart/2005/8/layout/hierarchy2"/>
    <dgm:cxn modelId="{BCFCE538-4095-4D75-8A2D-5C2D33DF7613}" type="presOf" srcId="{6B7E4FC7-AD38-4211-8099-6920826476FF}" destId="{E2E9EB91-8CD4-4746-9E3A-D629E6426938}" srcOrd="0" destOrd="0" presId="urn:microsoft.com/office/officeart/2005/8/layout/hierarchy2"/>
    <dgm:cxn modelId="{43174D3A-5D1F-4CC6-9258-F475A1403A78}" type="presOf" srcId="{7155E1A7-5E4B-4BE1-A49C-92A43D88BD53}" destId="{9E91FAF4-CF88-4FC9-B8A7-87A96B8BFD3E}" srcOrd="0" destOrd="0" presId="urn:microsoft.com/office/officeart/2005/8/layout/hierarchy2"/>
    <dgm:cxn modelId="{C279CFA7-A0EC-4B79-9987-F5B15037C622}" type="presOf" srcId="{7155E1A7-5E4B-4BE1-A49C-92A43D88BD53}" destId="{C17956EA-BAFA-456C-855D-CBA7AEC29A74}" srcOrd="1" destOrd="0" presId="urn:microsoft.com/office/officeart/2005/8/layout/hierarchy2"/>
    <dgm:cxn modelId="{5E9B469A-639D-46C5-9B07-71022C6C19F3}" srcId="{842D166E-0459-4C40-997D-AD832759BF59}" destId="{AE6C7837-F194-4BB6-BDFF-8ADFAFC7AB86}" srcOrd="1" destOrd="0" parTransId="{35FF1D04-A7D8-4611-BCEC-FFC31E356F13}" sibTransId="{15F93985-D01B-479E-A577-00BA2210DDC9}"/>
    <dgm:cxn modelId="{18256B21-3928-48E3-95AD-8B8D14BB6B11}" srcId="{C06F18B9-29EA-48E0-988F-A96EFC0E3E75}" destId="{842D166E-0459-4C40-997D-AD832759BF59}" srcOrd="0" destOrd="0" parTransId="{BE0944CD-4947-4F6B-BA69-166BA2C68B7C}" sibTransId="{3BE0FBE4-3878-431F-9BD9-7C8B804247F9}"/>
    <dgm:cxn modelId="{577340E4-8C9E-4514-B0D2-41C37D92C3F1}" srcId="{6B7E4FC7-AD38-4211-8099-6920826476FF}" destId="{13183FD7-42CB-4688-950E-F7912ABF64B9}" srcOrd="1" destOrd="0" parTransId="{C8A53938-56D3-45A1-B98E-C8E5D64B251D}" sibTransId="{1B028315-DD21-4555-8C3E-5C87144BF2D7}"/>
    <dgm:cxn modelId="{27BEE8E0-24DC-4B3F-BE83-E282F7A431EF}" srcId="{7D461C33-635A-4AA3-A46C-C628467CDDD7}" destId="{54251BE1-6AA8-48E6-885F-9F7DFEEB237D}" srcOrd="2" destOrd="0" parTransId="{D83706B1-BA39-41B6-A8CC-4A04FB2BBD85}" sibTransId="{09A7F0E6-37D8-4E78-9C6A-7E2DBD8AFBA2}"/>
    <dgm:cxn modelId="{F36B32E5-2D78-420A-A92B-EC0E8F52D01A}" srcId="{9A511400-9C08-4339-A219-65F6AD32B33D}" destId="{C06F18B9-29EA-48E0-988F-A96EFC0E3E75}" srcOrd="0" destOrd="0" parTransId="{E0CD9DB2-0B34-43A8-AAAF-158212E56C7D}" sibTransId="{2DDBA9F6-B42B-4A8C-81FD-796E9B2D8A8C}"/>
    <dgm:cxn modelId="{9ECF73BA-96D3-4397-BC62-A1E514BFA46F}" type="presOf" srcId="{79903C46-3A15-4AA6-8CD9-B8A6AC4AC50E}" destId="{5429047F-A13A-4CD1-8C0F-56F0DF3C7A98}" srcOrd="1" destOrd="0" presId="urn:microsoft.com/office/officeart/2005/8/layout/hierarchy2"/>
    <dgm:cxn modelId="{8B394E39-CB16-4796-A04E-DDCC3088EFF4}" type="presOf" srcId="{4EA12F97-60F1-4FEC-B301-27335FFA232F}" destId="{CA604AF3-81AF-44D2-A301-BF0DB597D744}" srcOrd="0" destOrd="0" presId="urn:microsoft.com/office/officeart/2005/8/layout/hierarchy2"/>
    <dgm:cxn modelId="{FC0BE743-3CE3-44F4-AE77-1ECF89137E6A}" type="presOf" srcId="{BA8D92D3-B005-4ED8-A475-8D2CEC89BE96}" destId="{5512C0F9-772A-41FF-8B9E-521AE76E0111}" srcOrd="0" destOrd="0" presId="urn:microsoft.com/office/officeart/2005/8/layout/hierarchy2"/>
    <dgm:cxn modelId="{C5AF9901-3580-472B-A574-BF617F62B95C}" srcId="{7D461C33-635A-4AA3-A46C-C628467CDDD7}" destId="{BA8D92D3-B005-4ED8-A475-8D2CEC89BE96}" srcOrd="0" destOrd="0" parTransId="{081630C8-F20F-4A18-9A67-B4202E29ECDA}" sibTransId="{CD6D1947-036F-401C-8FBF-7539E243CF10}"/>
    <dgm:cxn modelId="{C52F7991-8E21-4C08-86E1-2F2364C6F1B7}" srcId="{842D166E-0459-4C40-997D-AD832759BF59}" destId="{54DBA01B-9DF1-4FF4-97E3-DDEC3F7665A0}" srcOrd="0" destOrd="0" parTransId="{05B5EC1C-6EA4-46AC-967A-00393FE27E74}" sibTransId="{32F45DFA-29B0-4CF9-BBB5-04080F61276D}"/>
    <dgm:cxn modelId="{10387EA6-E707-4B3F-BA08-42CA7F3E9345}" type="presOf" srcId="{4E3B9F33-B963-401A-9732-8E8F22D11DBA}" destId="{2567733E-111A-4263-A2B1-FC416BE85B17}" srcOrd="0" destOrd="0" presId="urn:microsoft.com/office/officeart/2005/8/layout/hierarchy2"/>
    <dgm:cxn modelId="{AE0CB30F-9304-43E2-9003-6B0A90BBB39E}" type="presOf" srcId="{7D461C33-635A-4AA3-A46C-C628467CDDD7}" destId="{D4F14A88-87F8-46A7-A563-C731355723E4}" srcOrd="0" destOrd="0" presId="urn:microsoft.com/office/officeart/2005/8/layout/hierarchy2"/>
    <dgm:cxn modelId="{1BB875D0-95FE-4601-9E42-2E03342795A2}" type="presOf" srcId="{C06F18B9-29EA-48E0-988F-A96EFC0E3E75}" destId="{86B61174-9DE6-4113-B987-7961413ECDAC}" srcOrd="0" destOrd="0" presId="urn:microsoft.com/office/officeart/2005/8/layout/hierarchy2"/>
    <dgm:cxn modelId="{4B1DEF82-DDF0-4F39-9017-A1B5D0EB6F5D}" type="presOf" srcId="{86B6C03A-40A3-4993-A46D-DFF79C647281}" destId="{B230355E-489A-4D41-8014-9CF3EA1EB3BF}" srcOrd="0" destOrd="0" presId="urn:microsoft.com/office/officeart/2005/8/layout/hierarchy2"/>
    <dgm:cxn modelId="{5293572E-F882-4836-8999-EDE02240C3AB}" srcId="{842D166E-0459-4C40-997D-AD832759BF59}" destId="{040F5098-D6B7-453C-8C03-BC80B776D000}" srcOrd="2" destOrd="0" parTransId="{82C58E32-6993-4E9A-8B60-F3E49C5487DE}" sibTransId="{680E88D7-C1C6-4E11-869E-57CB2CE67F76}"/>
    <dgm:cxn modelId="{9A43E711-845A-4AD9-91AC-7F3AC22E3B57}" type="presOf" srcId="{82C58E32-6993-4E9A-8B60-F3E49C5487DE}" destId="{24509835-EA83-4436-8435-40C6C871F49A}" srcOrd="0" destOrd="0" presId="urn:microsoft.com/office/officeart/2005/8/layout/hierarchy2"/>
    <dgm:cxn modelId="{54EA08C9-274A-48A2-B1B1-F3EC44857E8B}" type="presOf" srcId="{D83706B1-BA39-41B6-A8CC-4A04FB2BBD85}" destId="{9E7517CC-C0B2-4D55-B3C4-A44E6C1C6434}" srcOrd="0" destOrd="0" presId="urn:microsoft.com/office/officeart/2005/8/layout/hierarchy2"/>
    <dgm:cxn modelId="{42CA34B4-5831-4254-AA94-FC49E52F9507}" type="presOf" srcId="{0F9E3E6B-B822-4468-BFBE-B6860394F967}" destId="{533132D1-FB2D-4FA6-BD2B-EB939C439AAA}" srcOrd="0" destOrd="0" presId="urn:microsoft.com/office/officeart/2005/8/layout/hierarchy2"/>
    <dgm:cxn modelId="{1AA3260C-7F2F-415D-96A4-06C3915750E5}" type="presOf" srcId="{D83706B1-BA39-41B6-A8CC-4A04FB2BBD85}" destId="{E27D1901-21F8-4E67-A447-F9041C3084E0}" srcOrd="1" destOrd="0" presId="urn:microsoft.com/office/officeart/2005/8/layout/hierarchy2"/>
    <dgm:cxn modelId="{FC781356-F741-4983-AD2A-B038AD2242D7}" type="presOf" srcId="{0F9E3E6B-B822-4468-BFBE-B6860394F967}" destId="{7F1F880D-C5E8-4342-AA7F-AD24C370C84B}" srcOrd="1" destOrd="0" presId="urn:microsoft.com/office/officeart/2005/8/layout/hierarchy2"/>
    <dgm:cxn modelId="{C684DAAB-626D-4FE5-9D64-3F53C0ED666A}" srcId="{842D166E-0459-4C40-997D-AD832759BF59}" destId="{6B7E4FC7-AD38-4211-8099-6920826476FF}" srcOrd="5" destOrd="0" parTransId="{B2F6AD3A-E296-4B72-82C3-3B4791304ECE}" sibTransId="{116081D0-8412-424C-9AFB-EBEA0AE02495}"/>
    <dgm:cxn modelId="{E449FF47-614B-43F2-AFC9-493528DD0922}" type="presOf" srcId="{B2F6AD3A-E296-4B72-82C3-3B4791304ECE}" destId="{2D06F5C8-4D18-4E3E-815C-B796F1C5D060}" srcOrd="1" destOrd="0" presId="urn:microsoft.com/office/officeart/2005/8/layout/hierarchy2"/>
    <dgm:cxn modelId="{0E2ED307-ADA8-4F57-9CBA-17E633A56C58}" srcId="{7D461C33-635A-4AA3-A46C-C628467CDDD7}" destId="{4E3B9F33-B963-401A-9732-8E8F22D11DBA}" srcOrd="1" destOrd="0" parTransId="{EECC7238-5D11-4A09-8F2D-08818995D543}" sibTransId="{87040077-A3F8-465B-9BA6-0B2A5F169225}"/>
    <dgm:cxn modelId="{5F494C8B-9F55-44F2-955A-7134E4D6E0EE}" type="presOf" srcId="{54DBA01B-9DF1-4FF4-97E3-DDEC3F7665A0}" destId="{31912253-51B7-47A7-8C62-740BFEE5A0A9}" srcOrd="0" destOrd="0" presId="urn:microsoft.com/office/officeart/2005/8/layout/hierarchy2"/>
    <dgm:cxn modelId="{396345C5-DA9C-4D48-B1C0-9E3133C43C32}" type="presOf" srcId="{842D166E-0459-4C40-997D-AD832759BF59}" destId="{049441C2-79A1-4A2B-90DD-A77A44736CB6}" srcOrd="0" destOrd="0" presId="urn:microsoft.com/office/officeart/2005/8/layout/hierarchy2"/>
    <dgm:cxn modelId="{D298A767-5833-47DF-87CA-CE6106E879D2}" type="presOf" srcId="{82C58E32-6993-4E9A-8B60-F3E49C5487DE}" destId="{1D8F9B7D-E27F-468B-808F-069D3841E825}" srcOrd="1" destOrd="0" presId="urn:microsoft.com/office/officeart/2005/8/layout/hierarchy2"/>
    <dgm:cxn modelId="{3F05D50E-1890-41F1-AB8B-DB15A9216F96}" type="presOf" srcId="{9D0268EA-4742-472B-8173-C990A17025AB}" destId="{87FA053D-034F-48F7-863C-8399480A5F87}" srcOrd="1" destOrd="0" presId="urn:microsoft.com/office/officeart/2005/8/layout/hierarchy2"/>
    <dgm:cxn modelId="{3DFD39A4-E148-4EFD-AEEE-0D72A6A1D549}" srcId="{6B7E4FC7-AD38-4211-8099-6920826476FF}" destId="{86B6C03A-40A3-4993-A46D-DFF79C647281}" srcOrd="0" destOrd="0" parTransId="{78048003-7ACB-4850-9640-BE650D300E06}" sibTransId="{88F7F54D-265A-42A8-8CEC-7D63C42E77F8}"/>
    <dgm:cxn modelId="{4BE6F3F8-3B2F-4D64-9CA3-3493A4EEB8B5}" type="presOf" srcId="{35FF1D04-A7D8-4611-BCEC-FFC31E356F13}" destId="{5140B7C1-DB3E-4E21-A5E5-7A0F123BFD3E}" srcOrd="0" destOrd="0" presId="urn:microsoft.com/office/officeart/2005/8/layout/hierarchy2"/>
    <dgm:cxn modelId="{047B8788-3D41-4882-99E6-660D538D2B5C}" type="presOf" srcId="{9D0268EA-4742-472B-8173-C990A17025AB}" destId="{F4939184-5195-4783-B371-207438F13A0E}" srcOrd="0" destOrd="0" presId="urn:microsoft.com/office/officeart/2005/8/layout/hierarchy2"/>
    <dgm:cxn modelId="{DE994D64-8F5B-4C48-8330-8CA040BD976D}" type="presOf" srcId="{7F68FB70-1182-4A87-81A6-F5FABF56BD9E}" destId="{A241AD21-923C-46B9-84B4-8EEFE0782536}" srcOrd="0" destOrd="0" presId="urn:microsoft.com/office/officeart/2005/8/layout/hierarchy2"/>
    <dgm:cxn modelId="{35E19064-0CBA-4958-B5CE-19FBCBF03271}" type="presParOf" srcId="{2D1F44ED-B2A9-404E-AE21-ABEF8C738C45}" destId="{EB3876FF-0AC7-4CF9-AF55-7664AC9726C5}" srcOrd="0" destOrd="0" presId="urn:microsoft.com/office/officeart/2005/8/layout/hierarchy2"/>
    <dgm:cxn modelId="{848B03E0-035E-472D-8FED-F24B2B5E4C26}" type="presParOf" srcId="{EB3876FF-0AC7-4CF9-AF55-7664AC9726C5}" destId="{86B61174-9DE6-4113-B987-7961413ECDAC}" srcOrd="0" destOrd="0" presId="urn:microsoft.com/office/officeart/2005/8/layout/hierarchy2"/>
    <dgm:cxn modelId="{F9F3E94E-AB2D-411E-A481-4172A0CD6971}" type="presParOf" srcId="{EB3876FF-0AC7-4CF9-AF55-7664AC9726C5}" destId="{F307214D-2D27-41F2-B5A7-7BB2BB333256}" srcOrd="1" destOrd="0" presId="urn:microsoft.com/office/officeart/2005/8/layout/hierarchy2"/>
    <dgm:cxn modelId="{2E31E9F0-37BE-4984-80F3-222B2A68FC8C}" type="presParOf" srcId="{F307214D-2D27-41F2-B5A7-7BB2BB333256}" destId="{E73AADB9-1187-48CB-BC58-F279B1E988B5}" srcOrd="0" destOrd="0" presId="urn:microsoft.com/office/officeart/2005/8/layout/hierarchy2"/>
    <dgm:cxn modelId="{B2B26629-C584-4EA4-9E30-A6C5F2B96624}" type="presParOf" srcId="{E73AADB9-1187-48CB-BC58-F279B1E988B5}" destId="{FA3158B0-EDE2-4B39-BC14-589CA845141C}" srcOrd="0" destOrd="0" presId="urn:microsoft.com/office/officeart/2005/8/layout/hierarchy2"/>
    <dgm:cxn modelId="{7A72EFB9-BDBF-41C6-9A46-9D7D4FB026E4}" type="presParOf" srcId="{F307214D-2D27-41F2-B5A7-7BB2BB333256}" destId="{279BAB6C-05BF-4580-B565-D46B0B69C124}" srcOrd="1" destOrd="0" presId="urn:microsoft.com/office/officeart/2005/8/layout/hierarchy2"/>
    <dgm:cxn modelId="{509FC096-CAAC-4A30-B24B-25D0C2800792}" type="presParOf" srcId="{279BAB6C-05BF-4580-B565-D46B0B69C124}" destId="{049441C2-79A1-4A2B-90DD-A77A44736CB6}" srcOrd="0" destOrd="0" presId="urn:microsoft.com/office/officeart/2005/8/layout/hierarchy2"/>
    <dgm:cxn modelId="{53A8F5C8-6668-4D1B-9A5D-F71EC3B1F3D2}" type="presParOf" srcId="{279BAB6C-05BF-4580-B565-D46B0B69C124}" destId="{ABC1E41D-F248-4196-82F6-41BE996095A5}" srcOrd="1" destOrd="0" presId="urn:microsoft.com/office/officeart/2005/8/layout/hierarchy2"/>
    <dgm:cxn modelId="{454EC963-491F-4475-B823-89B6063DBB4C}" type="presParOf" srcId="{ABC1E41D-F248-4196-82F6-41BE996095A5}" destId="{B95C41F5-4D98-406D-9C70-BEE07CD7ADD7}" srcOrd="0" destOrd="0" presId="urn:microsoft.com/office/officeart/2005/8/layout/hierarchy2"/>
    <dgm:cxn modelId="{0D5F5E0E-F2B7-4BED-8C35-001CFF7DB6C2}" type="presParOf" srcId="{B95C41F5-4D98-406D-9C70-BEE07CD7ADD7}" destId="{31307222-367D-46E7-9155-AE38A3678DBE}" srcOrd="0" destOrd="0" presId="urn:microsoft.com/office/officeart/2005/8/layout/hierarchy2"/>
    <dgm:cxn modelId="{3A5BD603-3474-4044-A6A2-B7111E690A21}" type="presParOf" srcId="{ABC1E41D-F248-4196-82F6-41BE996095A5}" destId="{8BE84FA3-2C84-499A-AB96-5624BCFB3F55}" srcOrd="1" destOrd="0" presId="urn:microsoft.com/office/officeart/2005/8/layout/hierarchy2"/>
    <dgm:cxn modelId="{503394BA-04D2-4BA1-BD2C-42E469EF3EF5}" type="presParOf" srcId="{8BE84FA3-2C84-499A-AB96-5624BCFB3F55}" destId="{31912253-51B7-47A7-8C62-740BFEE5A0A9}" srcOrd="0" destOrd="0" presId="urn:microsoft.com/office/officeart/2005/8/layout/hierarchy2"/>
    <dgm:cxn modelId="{D9BDC111-BFBC-4F45-BA24-2CB65895F73D}" type="presParOf" srcId="{8BE84FA3-2C84-499A-AB96-5624BCFB3F55}" destId="{922C00B5-468A-487E-BB6D-65F173A80E0F}" srcOrd="1" destOrd="0" presId="urn:microsoft.com/office/officeart/2005/8/layout/hierarchy2"/>
    <dgm:cxn modelId="{224EEC1D-E3E2-499F-A196-2035C014FB97}" type="presParOf" srcId="{ABC1E41D-F248-4196-82F6-41BE996095A5}" destId="{5140B7C1-DB3E-4E21-A5E5-7A0F123BFD3E}" srcOrd="2" destOrd="0" presId="urn:microsoft.com/office/officeart/2005/8/layout/hierarchy2"/>
    <dgm:cxn modelId="{A8D369E9-B27C-4F7F-930D-680E24A34638}" type="presParOf" srcId="{5140B7C1-DB3E-4E21-A5E5-7A0F123BFD3E}" destId="{AA14641A-F70A-4382-8DE9-EB2DDF582B4D}" srcOrd="0" destOrd="0" presId="urn:microsoft.com/office/officeart/2005/8/layout/hierarchy2"/>
    <dgm:cxn modelId="{80A278A2-5A1A-4FD1-8922-57EBD0918490}" type="presParOf" srcId="{ABC1E41D-F248-4196-82F6-41BE996095A5}" destId="{CE30F11D-3430-4CEF-899A-F8BEEA831C61}" srcOrd="3" destOrd="0" presId="urn:microsoft.com/office/officeart/2005/8/layout/hierarchy2"/>
    <dgm:cxn modelId="{B2586DDC-0AA5-47B0-939A-240085AC53EF}" type="presParOf" srcId="{CE30F11D-3430-4CEF-899A-F8BEEA831C61}" destId="{A4A90BBF-269C-4815-955C-974F20BB34BA}" srcOrd="0" destOrd="0" presId="urn:microsoft.com/office/officeart/2005/8/layout/hierarchy2"/>
    <dgm:cxn modelId="{7FEA7A61-E1CC-4BD8-9B73-A9F5DB237900}" type="presParOf" srcId="{CE30F11D-3430-4CEF-899A-F8BEEA831C61}" destId="{D29629E5-B1A9-427B-9596-DD797C69E89A}" srcOrd="1" destOrd="0" presId="urn:microsoft.com/office/officeart/2005/8/layout/hierarchy2"/>
    <dgm:cxn modelId="{35C8D845-3332-4F39-9A23-321DDCA98A1C}" type="presParOf" srcId="{D29629E5-B1A9-427B-9596-DD797C69E89A}" destId="{533132D1-FB2D-4FA6-BD2B-EB939C439AAA}" srcOrd="0" destOrd="0" presId="urn:microsoft.com/office/officeart/2005/8/layout/hierarchy2"/>
    <dgm:cxn modelId="{160E3829-C14D-414B-A18E-69A98A630A23}" type="presParOf" srcId="{533132D1-FB2D-4FA6-BD2B-EB939C439AAA}" destId="{7F1F880D-C5E8-4342-AA7F-AD24C370C84B}" srcOrd="0" destOrd="0" presId="urn:microsoft.com/office/officeart/2005/8/layout/hierarchy2"/>
    <dgm:cxn modelId="{BF1E2916-191E-43A9-A1A0-627599429A98}" type="presParOf" srcId="{D29629E5-B1A9-427B-9596-DD797C69E89A}" destId="{9F489A00-68A2-4FAB-818D-8FFDA6BAE5BB}" srcOrd="1" destOrd="0" presId="urn:microsoft.com/office/officeart/2005/8/layout/hierarchy2"/>
    <dgm:cxn modelId="{A9957909-96DC-4DF8-80F3-5A3A9A83C21B}" type="presParOf" srcId="{9F489A00-68A2-4FAB-818D-8FFDA6BAE5BB}" destId="{95C32227-89D0-4820-81C8-53FC38CFCC49}" srcOrd="0" destOrd="0" presId="urn:microsoft.com/office/officeart/2005/8/layout/hierarchy2"/>
    <dgm:cxn modelId="{66D3A058-ECB9-45BE-9679-9433690AB6ED}" type="presParOf" srcId="{9F489A00-68A2-4FAB-818D-8FFDA6BAE5BB}" destId="{82A61237-F83F-4EF9-B1C1-78062E1DCEFA}" srcOrd="1" destOrd="0" presId="urn:microsoft.com/office/officeart/2005/8/layout/hierarchy2"/>
    <dgm:cxn modelId="{4A20F373-971B-402F-9ADE-EE43DA657430}" type="presParOf" srcId="{D29629E5-B1A9-427B-9596-DD797C69E89A}" destId="{F4939184-5195-4783-B371-207438F13A0E}" srcOrd="2" destOrd="0" presId="urn:microsoft.com/office/officeart/2005/8/layout/hierarchy2"/>
    <dgm:cxn modelId="{2BFE27DC-BC20-49B7-B76C-A9A29EECA972}" type="presParOf" srcId="{F4939184-5195-4783-B371-207438F13A0E}" destId="{87FA053D-034F-48F7-863C-8399480A5F87}" srcOrd="0" destOrd="0" presId="urn:microsoft.com/office/officeart/2005/8/layout/hierarchy2"/>
    <dgm:cxn modelId="{9A58C3E0-CF29-47AA-98D3-8D86C31965BF}" type="presParOf" srcId="{D29629E5-B1A9-427B-9596-DD797C69E89A}" destId="{4CB42C75-20C0-4A9F-B40B-F0EF6FAD2782}" srcOrd="3" destOrd="0" presId="urn:microsoft.com/office/officeart/2005/8/layout/hierarchy2"/>
    <dgm:cxn modelId="{EA3CD5F8-9CE1-4495-975C-1DBE69E044F5}" type="presParOf" srcId="{4CB42C75-20C0-4A9F-B40B-F0EF6FAD2782}" destId="{A241AD21-923C-46B9-84B4-8EEFE0782536}" srcOrd="0" destOrd="0" presId="urn:microsoft.com/office/officeart/2005/8/layout/hierarchy2"/>
    <dgm:cxn modelId="{F3910510-1A60-49FB-A343-637DCE9DBE99}" type="presParOf" srcId="{4CB42C75-20C0-4A9F-B40B-F0EF6FAD2782}" destId="{CA87E897-F42E-49A1-9D62-80682D7F1885}" srcOrd="1" destOrd="0" presId="urn:microsoft.com/office/officeart/2005/8/layout/hierarchy2"/>
    <dgm:cxn modelId="{A573DB55-D164-4293-A3F8-61C778B72FE5}" type="presParOf" srcId="{ABC1E41D-F248-4196-82F6-41BE996095A5}" destId="{24509835-EA83-4436-8435-40C6C871F49A}" srcOrd="4" destOrd="0" presId="urn:microsoft.com/office/officeart/2005/8/layout/hierarchy2"/>
    <dgm:cxn modelId="{F49D0C7D-DD4F-40BF-A612-B2DAF670A40D}" type="presParOf" srcId="{24509835-EA83-4436-8435-40C6C871F49A}" destId="{1D8F9B7D-E27F-468B-808F-069D3841E825}" srcOrd="0" destOrd="0" presId="urn:microsoft.com/office/officeart/2005/8/layout/hierarchy2"/>
    <dgm:cxn modelId="{0AC16AFB-D4FD-4ABF-82D3-B76CE59A082B}" type="presParOf" srcId="{ABC1E41D-F248-4196-82F6-41BE996095A5}" destId="{542D438B-47FD-4A6B-B998-C6FCEA9DE6F1}" srcOrd="5" destOrd="0" presId="urn:microsoft.com/office/officeart/2005/8/layout/hierarchy2"/>
    <dgm:cxn modelId="{B3584B98-BF52-4832-B7FA-F800D63E3BAF}" type="presParOf" srcId="{542D438B-47FD-4A6B-B998-C6FCEA9DE6F1}" destId="{DCA09555-6C52-4E6D-843F-DAB05ADC9750}" srcOrd="0" destOrd="0" presId="urn:microsoft.com/office/officeart/2005/8/layout/hierarchy2"/>
    <dgm:cxn modelId="{C601FBB6-3C22-4FF1-83CE-816FFAC00830}" type="presParOf" srcId="{542D438B-47FD-4A6B-B998-C6FCEA9DE6F1}" destId="{BEFF46E0-0DDD-43CF-94E6-778900CCFDA9}" srcOrd="1" destOrd="0" presId="urn:microsoft.com/office/officeart/2005/8/layout/hierarchy2"/>
    <dgm:cxn modelId="{AECCE470-BAB2-4E2D-9A2C-8FA1A4D9212C}" type="presParOf" srcId="{ABC1E41D-F248-4196-82F6-41BE996095A5}" destId="{F5E15C9E-D866-4D76-BEEB-AE1FD6AD3175}" srcOrd="6" destOrd="0" presId="urn:microsoft.com/office/officeart/2005/8/layout/hierarchy2"/>
    <dgm:cxn modelId="{B83EEDB7-3BF0-4F9F-81D1-521C0D808399}" type="presParOf" srcId="{F5E15C9E-D866-4D76-BEEB-AE1FD6AD3175}" destId="{3DFE8BA4-339A-4F78-A6BE-4B43AA8462A5}" srcOrd="0" destOrd="0" presId="urn:microsoft.com/office/officeart/2005/8/layout/hierarchy2"/>
    <dgm:cxn modelId="{7B567F6A-F94E-4E92-A5A2-74B670C96C2F}" type="presParOf" srcId="{ABC1E41D-F248-4196-82F6-41BE996095A5}" destId="{0ACE8635-7450-4548-A9F4-5A22BF0EFF47}" srcOrd="7" destOrd="0" presId="urn:microsoft.com/office/officeart/2005/8/layout/hierarchy2"/>
    <dgm:cxn modelId="{FE13E08C-A4B6-445F-BDB3-19FFFF4149E1}" type="presParOf" srcId="{0ACE8635-7450-4548-A9F4-5A22BF0EFF47}" destId="{7F6B7BAC-3DEA-4CEE-9318-6BFA3245BB98}" srcOrd="0" destOrd="0" presId="urn:microsoft.com/office/officeart/2005/8/layout/hierarchy2"/>
    <dgm:cxn modelId="{A477611D-F46D-47D2-A065-EE9E6B64A5D0}" type="presParOf" srcId="{0ACE8635-7450-4548-A9F4-5A22BF0EFF47}" destId="{DBEA093A-EA0F-40F0-8FDE-669823F56F41}" srcOrd="1" destOrd="0" presId="urn:microsoft.com/office/officeart/2005/8/layout/hierarchy2"/>
    <dgm:cxn modelId="{85C511C9-74D5-40DE-B66E-3AD1A16ECAD7}" type="presParOf" srcId="{ABC1E41D-F248-4196-82F6-41BE996095A5}" destId="{9E91FAF4-CF88-4FC9-B8A7-87A96B8BFD3E}" srcOrd="8" destOrd="0" presId="urn:microsoft.com/office/officeart/2005/8/layout/hierarchy2"/>
    <dgm:cxn modelId="{36175C11-AD88-4B81-B2A7-A1D1A7B68BC4}" type="presParOf" srcId="{9E91FAF4-CF88-4FC9-B8A7-87A96B8BFD3E}" destId="{C17956EA-BAFA-456C-855D-CBA7AEC29A74}" srcOrd="0" destOrd="0" presId="urn:microsoft.com/office/officeart/2005/8/layout/hierarchy2"/>
    <dgm:cxn modelId="{8A8E0388-C794-42B1-A5EA-1EFCD072C6BE}" type="presParOf" srcId="{ABC1E41D-F248-4196-82F6-41BE996095A5}" destId="{89107E71-2D22-4DDA-A5D6-ADACB99B3CCD}" srcOrd="9" destOrd="0" presId="urn:microsoft.com/office/officeart/2005/8/layout/hierarchy2"/>
    <dgm:cxn modelId="{48D8E19F-D75A-4789-839F-F6B8C96692CB}" type="presParOf" srcId="{89107E71-2D22-4DDA-A5D6-ADACB99B3CCD}" destId="{CA604AF3-81AF-44D2-A301-BF0DB597D744}" srcOrd="0" destOrd="0" presId="urn:microsoft.com/office/officeart/2005/8/layout/hierarchy2"/>
    <dgm:cxn modelId="{547F6B27-11ED-4932-B42E-CBB486C7CDD9}" type="presParOf" srcId="{89107E71-2D22-4DDA-A5D6-ADACB99B3CCD}" destId="{A3E98C11-AB70-4E2B-A07F-270420391795}" srcOrd="1" destOrd="0" presId="urn:microsoft.com/office/officeart/2005/8/layout/hierarchy2"/>
    <dgm:cxn modelId="{7DEDF892-666A-4D52-BC76-D25A75201826}" type="presParOf" srcId="{ABC1E41D-F248-4196-82F6-41BE996095A5}" destId="{8D02B593-B800-4065-8B28-4CA32DD3C192}" srcOrd="10" destOrd="0" presId="urn:microsoft.com/office/officeart/2005/8/layout/hierarchy2"/>
    <dgm:cxn modelId="{43FFD30E-B314-4E1E-A8F1-82E59C5C0856}" type="presParOf" srcId="{8D02B593-B800-4065-8B28-4CA32DD3C192}" destId="{2D06F5C8-4D18-4E3E-815C-B796F1C5D060}" srcOrd="0" destOrd="0" presId="urn:microsoft.com/office/officeart/2005/8/layout/hierarchy2"/>
    <dgm:cxn modelId="{8390974E-F333-4250-A56C-C9546556E167}" type="presParOf" srcId="{ABC1E41D-F248-4196-82F6-41BE996095A5}" destId="{527AEF51-767F-44CF-96DA-CA0800FF8A83}" srcOrd="11" destOrd="0" presId="urn:microsoft.com/office/officeart/2005/8/layout/hierarchy2"/>
    <dgm:cxn modelId="{E860D30F-311A-43B5-AAF2-56636757EA91}" type="presParOf" srcId="{527AEF51-767F-44CF-96DA-CA0800FF8A83}" destId="{E2E9EB91-8CD4-4746-9E3A-D629E6426938}" srcOrd="0" destOrd="0" presId="urn:microsoft.com/office/officeart/2005/8/layout/hierarchy2"/>
    <dgm:cxn modelId="{2670C623-FAA0-418B-B29D-02B06F5001A0}" type="presParOf" srcId="{527AEF51-767F-44CF-96DA-CA0800FF8A83}" destId="{AF955CF3-E966-4483-906F-C5F97DE1A586}" srcOrd="1" destOrd="0" presId="urn:microsoft.com/office/officeart/2005/8/layout/hierarchy2"/>
    <dgm:cxn modelId="{74A56F37-49E1-41D5-977D-61CD50F861A5}" type="presParOf" srcId="{AF955CF3-E966-4483-906F-C5F97DE1A586}" destId="{4521099D-48E1-454B-A556-DC200F628993}" srcOrd="0" destOrd="0" presId="urn:microsoft.com/office/officeart/2005/8/layout/hierarchy2"/>
    <dgm:cxn modelId="{DDD4AA0C-4951-4B71-8881-5BAB4072A015}" type="presParOf" srcId="{4521099D-48E1-454B-A556-DC200F628993}" destId="{20A6FF54-0AB2-4DD3-AF77-23056E155B79}" srcOrd="0" destOrd="0" presId="urn:microsoft.com/office/officeart/2005/8/layout/hierarchy2"/>
    <dgm:cxn modelId="{301CE18C-F80C-4DA2-B8E1-18E4AEA34872}" type="presParOf" srcId="{AF955CF3-E966-4483-906F-C5F97DE1A586}" destId="{2EFE5329-EDD2-4E31-A097-FE482E7BFC35}" srcOrd="1" destOrd="0" presId="urn:microsoft.com/office/officeart/2005/8/layout/hierarchy2"/>
    <dgm:cxn modelId="{8F344D32-3977-4216-9C0E-8C1F5CEF821F}" type="presParOf" srcId="{2EFE5329-EDD2-4E31-A097-FE482E7BFC35}" destId="{B230355E-489A-4D41-8014-9CF3EA1EB3BF}" srcOrd="0" destOrd="0" presId="urn:microsoft.com/office/officeart/2005/8/layout/hierarchy2"/>
    <dgm:cxn modelId="{B0A445B2-BF4C-4846-80A5-A638AD4895BF}" type="presParOf" srcId="{2EFE5329-EDD2-4E31-A097-FE482E7BFC35}" destId="{C22B9C84-3F44-4140-9A0B-A8AFABDE8F45}" srcOrd="1" destOrd="0" presId="urn:microsoft.com/office/officeart/2005/8/layout/hierarchy2"/>
    <dgm:cxn modelId="{86BFC36D-EB6A-4A85-8A90-05378B6BABEC}" type="presParOf" srcId="{AF955CF3-E966-4483-906F-C5F97DE1A586}" destId="{5DA137DA-DF59-409D-B579-425029F496FE}" srcOrd="2" destOrd="0" presId="urn:microsoft.com/office/officeart/2005/8/layout/hierarchy2"/>
    <dgm:cxn modelId="{EC240345-F603-4711-B865-73FD37948100}" type="presParOf" srcId="{5DA137DA-DF59-409D-B579-425029F496FE}" destId="{9F76AE82-0001-41E9-912A-475C5FB5E7FE}" srcOrd="0" destOrd="0" presId="urn:microsoft.com/office/officeart/2005/8/layout/hierarchy2"/>
    <dgm:cxn modelId="{9F05217C-0EEF-4AAD-A6D0-1D43998F4C3C}" type="presParOf" srcId="{AF955CF3-E966-4483-906F-C5F97DE1A586}" destId="{79AA392B-8756-49B3-BA73-94008DEB2A6C}" srcOrd="3" destOrd="0" presId="urn:microsoft.com/office/officeart/2005/8/layout/hierarchy2"/>
    <dgm:cxn modelId="{1F4DF79B-BE02-4157-8903-F8CD8041C8C0}" type="presParOf" srcId="{79AA392B-8756-49B3-BA73-94008DEB2A6C}" destId="{2D38B86E-E337-4782-AC84-D624960B4626}" srcOrd="0" destOrd="0" presId="urn:microsoft.com/office/officeart/2005/8/layout/hierarchy2"/>
    <dgm:cxn modelId="{D4C69853-C926-40A9-889C-62AF7B3D2C5C}" type="presParOf" srcId="{79AA392B-8756-49B3-BA73-94008DEB2A6C}" destId="{C95FD4B9-4290-47C7-A778-2FED85743FF7}" srcOrd="1" destOrd="0" presId="urn:microsoft.com/office/officeart/2005/8/layout/hierarchy2"/>
    <dgm:cxn modelId="{0A6ED36D-D1D2-4353-AA46-700C480B41B0}" type="presParOf" srcId="{F307214D-2D27-41F2-B5A7-7BB2BB333256}" destId="{712E780D-3101-491C-8C59-D8AE291B1A78}" srcOrd="2" destOrd="0" presId="urn:microsoft.com/office/officeart/2005/8/layout/hierarchy2"/>
    <dgm:cxn modelId="{EB4F8394-489E-450D-AB05-AB3343A133E2}" type="presParOf" srcId="{712E780D-3101-491C-8C59-D8AE291B1A78}" destId="{5429047F-A13A-4CD1-8C0F-56F0DF3C7A98}" srcOrd="0" destOrd="0" presId="urn:microsoft.com/office/officeart/2005/8/layout/hierarchy2"/>
    <dgm:cxn modelId="{A3F7928A-1BF0-48DB-BDEF-C3E0FCC789AB}" type="presParOf" srcId="{F307214D-2D27-41F2-B5A7-7BB2BB333256}" destId="{93204042-FAB0-447B-9AC4-02B0BF199FD1}" srcOrd="3" destOrd="0" presId="urn:microsoft.com/office/officeart/2005/8/layout/hierarchy2"/>
    <dgm:cxn modelId="{CCF078D8-43AE-48B0-BAB6-58DAB8339B35}" type="presParOf" srcId="{93204042-FAB0-447B-9AC4-02B0BF199FD1}" destId="{D4F14A88-87F8-46A7-A563-C731355723E4}" srcOrd="0" destOrd="0" presId="urn:microsoft.com/office/officeart/2005/8/layout/hierarchy2"/>
    <dgm:cxn modelId="{1261D2F2-D356-4251-B266-DFFC182E4D64}" type="presParOf" srcId="{93204042-FAB0-447B-9AC4-02B0BF199FD1}" destId="{9E8A9679-763E-4ABA-8976-5467629E245D}" srcOrd="1" destOrd="0" presId="urn:microsoft.com/office/officeart/2005/8/layout/hierarchy2"/>
    <dgm:cxn modelId="{032ED582-F6BD-44FE-B1A0-99600A47876C}" type="presParOf" srcId="{9E8A9679-763E-4ABA-8976-5467629E245D}" destId="{917ADD1D-96AB-40F2-8C74-376C23B883AC}" srcOrd="0" destOrd="0" presId="urn:microsoft.com/office/officeart/2005/8/layout/hierarchy2"/>
    <dgm:cxn modelId="{FB36C83E-8ADF-4D05-82FD-0DB54095EC45}" type="presParOf" srcId="{917ADD1D-96AB-40F2-8C74-376C23B883AC}" destId="{2361968B-9186-421A-9F94-82BE28FF496E}" srcOrd="0" destOrd="0" presId="urn:microsoft.com/office/officeart/2005/8/layout/hierarchy2"/>
    <dgm:cxn modelId="{0F244499-6F44-4DCD-AC7D-2B8129B85DCF}" type="presParOf" srcId="{9E8A9679-763E-4ABA-8976-5467629E245D}" destId="{DE48C502-EF98-47DA-B203-B40E84AD656F}" srcOrd="1" destOrd="0" presId="urn:microsoft.com/office/officeart/2005/8/layout/hierarchy2"/>
    <dgm:cxn modelId="{75A72461-0C99-49CB-8308-64E616AE7277}" type="presParOf" srcId="{DE48C502-EF98-47DA-B203-B40E84AD656F}" destId="{5512C0F9-772A-41FF-8B9E-521AE76E0111}" srcOrd="0" destOrd="0" presId="urn:microsoft.com/office/officeart/2005/8/layout/hierarchy2"/>
    <dgm:cxn modelId="{8149FB8E-63A1-4028-86E4-80F5EFA62801}" type="presParOf" srcId="{DE48C502-EF98-47DA-B203-B40E84AD656F}" destId="{4775A076-F7C9-4445-822D-29E1406026EC}" srcOrd="1" destOrd="0" presId="urn:microsoft.com/office/officeart/2005/8/layout/hierarchy2"/>
    <dgm:cxn modelId="{288D81F5-66E8-44FF-BAD9-74DB550BE988}" type="presParOf" srcId="{9E8A9679-763E-4ABA-8976-5467629E245D}" destId="{9FA8A87F-2642-411B-8172-CB9F3A690545}" srcOrd="2" destOrd="0" presId="urn:microsoft.com/office/officeart/2005/8/layout/hierarchy2"/>
    <dgm:cxn modelId="{BA9785FE-5F95-41E5-869F-9FE0555840A1}" type="presParOf" srcId="{9FA8A87F-2642-411B-8172-CB9F3A690545}" destId="{C74FB3B0-F835-404D-92DB-E5754222295A}" srcOrd="0" destOrd="0" presId="urn:microsoft.com/office/officeart/2005/8/layout/hierarchy2"/>
    <dgm:cxn modelId="{D489109E-D694-40F1-B1C1-A60DFA228383}" type="presParOf" srcId="{9E8A9679-763E-4ABA-8976-5467629E245D}" destId="{E3CC4E39-3EDD-47F8-9547-C0046BABF75C}" srcOrd="3" destOrd="0" presId="urn:microsoft.com/office/officeart/2005/8/layout/hierarchy2"/>
    <dgm:cxn modelId="{A870CBDC-A85D-4840-A3F5-592A0D5DE681}" type="presParOf" srcId="{E3CC4E39-3EDD-47F8-9547-C0046BABF75C}" destId="{2567733E-111A-4263-A2B1-FC416BE85B17}" srcOrd="0" destOrd="0" presId="urn:microsoft.com/office/officeart/2005/8/layout/hierarchy2"/>
    <dgm:cxn modelId="{86AEF3E0-50AA-4DF9-985D-22DE3CEE2BC6}" type="presParOf" srcId="{E3CC4E39-3EDD-47F8-9547-C0046BABF75C}" destId="{4D78E144-FEE7-4C69-80E9-23531A5CD443}" srcOrd="1" destOrd="0" presId="urn:microsoft.com/office/officeart/2005/8/layout/hierarchy2"/>
    <dgm:cxn modelId="{0546C1C3-6996-4FC4-BBBA-5683513A3259}" type="presParOf" srcId="{9E8A9679-763E-4ABA-8976-5467629E245D}" destId="{9E7517CC-C0B2-4D55-B3C4-A44E6C1C6434}" srcOrd="4" destOrd="0" presId="urn:microsoft.com/office/officeart/2005/8/layout/hierarchy2"/>
    <dgm:cxn modelId="{C487BAD6-4A86-456D-8E53-FF24181E304D}" type="presParOf" srcId="{9E7517CC-C0B2-4D55-B3C4-A44E6C1C6434}" destId="{E27D1901-21F8-4E67-A447-F9041C3084E0}" srcOrd="0" destOrd="0" presId="urn:microsoft.com/office/officeart/2005/8/layout/hierarchy2"/>
    <dgm:cxn modelId="{8E1CC35A-BC15-4E05-BF3E-2BC06B0B1CB9}" type="presParOf" srcId="{9E8A9679-763E-4ABA-8976-5467629E245D}" destId="{00D4342C-C840-453A-9241-EFD01B4B3B8C}" srcOrd="5" destOrd="0" presId="urn:microsoft.com/office/officeart/2005/8/layout/hierarchy2"/>
    <dgm:cxn modelId="{27569B5F-8002-4E80-8A27-F1408C0E4C55}" type="presParOf" srcId="{00D4342C-C840-453A-9241-EFD01B4B3B8C}" destId="{30C67BFD-2341-4F0E-B322-673600E08139}" srcOrd="0" destOrd="0" presId="urn:microsoft.com/office/officeart/2005/8/layout/hierarchy2"/>
    <dgm:cxn modelId="{A2F3CE68-EE43-4456-9B0D-1E7D770358A1}" type="presParOf" srcId="{00D4342C-C840-453A-9241-EFD01B4B3B8C}" destId="{A5F22027-69FA-4657-A43C-CB549E7BA7F8}" srcOrd="1" destOrd="0" presId="urn:microsoft.com/office/officeart/2005/8/layout/hierarchy2"/>
  </dgm:cxnLst>
  <dgm:bg/>
  <dgm:whole>
    <a:ln>
      <a:solidFill>
        <a:schemeClr val="tx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6B61174-9DE6-4113-B987-7961413ECDAC}">
      <dsp:nvSpPr>
        <dsp:cNvPr id="0" name=""/>
        <dsp:cNvSpPr/>
      </dsp:nvSpPr>
      <dsp:spPr>
        <a:xfrm>
          <a:off x="899578" y="2821796"/>
          <a:ext cx="1016324"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TD and corresponding documents</a:t>
          </a:r>
        </a:p>
      </dsp:txBody>
      <dsp:txXfrm>
        <a:off x="914462" y="2836680"/>
        <a:ext cx="986556" cy="478394"/>
      </dsp:txXfrm>
    </dsp:sp>
    <dsp:sp modelId="{E73AADB9-1187-48CB-BC58-F279B1E988B5}">
      <dsp:nvSpPr>
        <dsp:cNvPr id="0" name=""/>
        <dsp:cNvSpPr/>
      </dsp:nvSpPr>
      <dsp:spPr>
        <a:xfrm rot="18544470">
          <a:off x="1592010" y="2386861"/>
          <a:ext cx="1752337" cy="17644"/>
        </a:xfrm>
        <a:custGeom>
          <a:avLst/>
          <a:gdLst/>
          <a:ahLst/>
          <a:cxnLst/>
          <a:rect l="0" t="0" r="0" b="0"/>
          <a:pathLst>
            <a:path>
              <a:moveTo>
                <a:pt x="0" y="8822"/>
              </a:moveTo>
              <a:lnTo>
                <a:pt x="1752337" y="88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de-DE" sz="800" kern="1200">
            <a:latin typeface="Arial" panose="020B0604020202020204" pitchFamily="34" charset="0"/>
            <a:cs typeface="Arial" panose="020B0604020202020204" pitchFamily="34" charset="0"/>
          </a:endParaRPr>
        </a:p>
      </dsp:txBody>
      <dsp:txXfrm>
        <a:off x="2424370" y="2351875"/>
        <a:ext cx="87616" cy="87616"/>
      </dsp:txXfrm>
    </dsp:sp>
    <dsp:sp modelId="{049441C2-79A1-4A2B-90DD-A77A44736CB6}">
      <dsp:nvSpPr>
        <dsp:cNvPr id="0" name=""/>
        <dsp:cNvSpPr/>
      </dsp:nvSpPr>
      <dsp:spPr>
        <a:xfrm>
          <a:off x="3020454" y="1461409"/>
          <a:ext cx="1016324"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Annex II: technical documentation</a:t>
          </a:r>
        </a:p>
      </dsp:txBody>
      <dsp:txXfrm>
        <a:off x="3035338" y="1476293"/>
        <a:ext cx="986556" cy="478394"/>
      </dsp:txXfrm>
    </dsp:sp>
    <dsp:sp modelId="{B95C41F5-4D98-406D-9C70-BEE07CD7ADD7}">
      <dsp:nvSpPr>
        <dsp:cNvPr id="0" name=""/>
        <dsp:cNvSpPr/>
      </dsp:nvSpPr>
      <dsp:spPr>
        <a:xfrm rot="17132988">
          <a:off x="3481807" y="976185"/>
          <a:ext cx="1516472" cy="17644"/>
        </a:xfrm>
        <a:custGeom>
          <a:avLst/>
          <a:gdLst/>
          <a:ahLst/>
          <a:cxnLst/>
          <a:rect l="0" t="0" r="0" b="0"/>
          <a:pathLst>
            <a:path>
              <a:moveTo>
                <a:pt x="0" y="8822"/>
              </a:moveTo>
              <a:lnTo>
                <a:pt x="1516472"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de-DE" sz="800" kern="1200">
            <a:latin typeface="Arial" panose="020B0604020202020204" pitchFamily="34" charset="0"/>
            <a:cs typeface="Arial" panose="020B0604020202020204" pitchFamily="34" charset="0"/>
          </a:endParaRPr>
        </a:p>
      </dsp:txBody>
      <dsp:txXfrm>
        <a:off x="4202131" y="947095"/>
        <a:ext cx="75823" cy="75823"/>
      </dsp:txXfrm>
    </dsp:sp>
    <dsp:sp modelId="{31912253-51B7-47A7-8C62-740BFEE5A0A9}">
      <dsp:nvSpPr>
        <dsp:cNvPr id="0" name=""/>
        <dsp:cNvSpPr/>
      </dsp:nvSpPr>
      <dsp:spPr>
        <a:xfrm>
          <a:off x="4443308" y="442"/>
          <a:ext cx="1373531"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Product description and specification including variants and accessories</a:t>
          </a:r>
        </a:p>
      </dsp:txBody>
      <dsp:txXfrm>
        <a:off x="4458192" y="15326"/>
        <a:ext cx="1343763" cy="478394"/>
      </dsp:txXfrm>
    </dsp:sp>
    <dsp:sp modelId="{5140B7C1-DB3E-4E21-A5E5-7A0F123BFD3E}">
      <dsp:nvSpPr>
        <dsp:cNvPr id="0" name=""/>
        <dsp:cNvSpPr/>
      </dsp:nvSpPr>
      <dsp:spPr>
        <a:xfrm rot="17692822">
          <a:off x="3756913" y="1268378"/>
          <a:ext cx="966260" cy="17644"/>
        </a:xfrm>
        <a:custGeom>
          <a:avLst/>
          <a:gdLst/>
          <a:ahLst/>
          <a:cxnLst/>
          <a:rect l="0" t="0" r="0" b="0"/>
          <a:pathLst>
            <a:path>
              <a:moveTo>
                <a:pt x="0" y="8822"/>
              </a:moveTo>
              <a:lnTo>
                <a:pt x="966260"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de-DE" sz="800" kern="1200">
            <a:latin typeface="Arial" panose="020B0604020202020204" pitchFamily="34" charset="0"/>
            <a:cs typeface="Arial" panose="020B0604020202020204" pitchFamily="34" charset="0"/>
          </a:endParaRPr>
        </a:p>
      </dsp:txBody>
      <dsp:txXfrm>
        <a:off x="4215887" y="1253043"/>
        <a:ext cx="48313" cy="48313"/>
      </dsp:txXfrm>
    </dsp:sp>
    <dsp:sp modelId="{A4A90BBF-269C-4815-955C-974F20BB34BA}">
      <dsp:nvSpPr>
        <dsp:cNvPr id="0" name=""/>
        <dsp:cNvSpPr/>
      </dsp:nvSpPr>
      <dsp:spPr>
        <a:xfrm>
          <a:off x="4443308" y="584829"/>
          <a:ext cx="1373531"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Information to be provided by the manufacturer</a:t>
          </a:r>
        </a:p>
      </dsp:txBody>
      <dsp:txXfrm>
        <a:off x="4458192" y="599713"/>
        <a:ext cx="1343763" cy="478394"/>
      </dsp:txXfrm>
    </dsp:sp>
    <dsp:sp modelId="{533132D1-FB2D-4FA6-BD2B-EB939C439AAA}">
      <dsp:nvSpPr>
        <dsp:cNvPr id="0" name=""/>
        <dsp:cNvSpPr/>
      </dsp:nvSpPr>
      <dsp:spPr>
        <a:xfrm rot="19457599">
          <a:off x="5769783" y="683991"/>
          <a:ext cx="500642" cy="17644"/>
        </a:xfrm>
        <a:custGeom>
          <a:avLst/>
          <a:gdLst/>
          <a:ahLst/>
          <a:cxnLst/>
          <a:rect l="0" t="0" r="0" b="0"/>
          <a:pathLst>
            <a:path>
              <a:moveTo>
                <a:pt x="0" y="8822"/>
              </a:moveTo>
              <a:lnTo>
                <a:pt x="500642"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de-DE" sz="500" kern="1200"/>
        </a:p>
      </dsp:txBody>
      <dsp:txXfrm>
        <a:off x="6007589" y="680297"/>
        <a:ext cx="25032" cy="25032"/>
      </dsp:txXfrm>
    </dsp:sp>
    <dsp:sp modelId="{95C32227-89D0-4820-81C8-53FC38CFCC49}">
      <dsp:nvSpPr>
        <dsp:cNvPr id="0" name=""/>
        <dsp:cNvSpPr/>
      </dsp:nvSpPr>
      <dsp:spPr>
        <a:xfrm>
          <a:off x="6223370" y="292636"/>
          <a:ext cx="1016324"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de-DE" sz="600" kern="1200">
              <a:latin typeface="Arial" panose="020B0604020202020204" pitchFamily="34" charset="0"/>
              <a:cs typeface="Arial" panose="020B0604020202020204" pitchFamily="34" charset="0"/>
            </a:rPr>
            <a:t>labeling and instruction for use</a:t>
          </a:r>
        </a:p>
      </dsp:txBody>
      <dsp:txXfrm>
        <a:off x="6238254" y="307520"/>
        <a:ext cx="986556" cy="478394"/>
      </dsp:txXfrm>
    </dsp:sp>
    <dsp:sp modelId="{F4939184-5195-4783-B371-207438F13A0E}">
      <dsp:nvSpPr>
        <dsp:cNvPr id="0" name=""/>
        <dsp:cNvSpPr/>
      </dsp:nvSpPr>
      <dsp:spPr>
        <a:xfrm rot="2142401">
          <a:off x="5769783" y="976185"/>
          <a:ext cx="500642" cy="17644"/>
        </a:xfrm>
        <a:custGeom>
          <a:avLst/>
          <a:gdLst/>
          <a:ahLst/>
          <a:cxnLst/>
          <a:rect l="0" t="0" r="0" b="0"/>
          <a:pathLst>
            <a:path>
              <a:moveTo>
                <a:pt x="0" y="8822"/>
              </a:moveTo>
              <a:lnTo>
                <a:pt x="500642"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de-DE" sz="500" kern="1200"/>
        </a:p>
      </dsp:txBody>
      <dsp:txXfrm>
        <a:off x="6007589" y="972491"/>
        <a:ext cx="25032" cy="25032"/>
      </dsp:txXfrm>
    </dsp:sp>
    <dsp:sp modelId="{A241AD21-923C-46B9-84B4-8EEFE0782536}">
      <dsp:nvSpPr>
        <dsp:cNvPr id="0" name=""/>
        <dsp:cNvSpPr/>
      </dsp:nvSpPr>
      <dsp:spPr>
        <a:xfrm>
          <a:off x="6223370" y="877022"/>
          <a:ext cx="1016324"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de-DE" sz="600" kern="1200">
              <a:latin typeface="Arial" panose="020B0604020202020204" pitchFamily="34" charset="0"/>
              <a:cs typeface="Arial" panose="020B0604020202020204" pitchFamily="34" charset="0"/>
            </a:rPr>
            <a:t>Validation: IQ/OQ/PQ plans, reports and evidence for critical processes (e.g. Manufacturing, sterilization)</a:t>
          </a:r>
        </a:p>
      </dsp:txBody>
      <dsp:txXfrm>
        <a:off x="6238254" y="891906"/>
        <a:ext cx="986556" cy="478394"/>
      </dsp:txXfrm>
    </dsp:sp>
    <dsp:sp modelId="{24509835-EA83-4436-8435-40C6C871F49A}">
      <dsp:nvSpPr>
        <dsp:cNvPr id="0" name=""/>
        <dsp:cNvSpPr/>
      </dsp:nvSpPr>
      <dsp:spPr>
        <a:xfrm rot="19457599">
          <a:off x="3989722" y="1560571"/>
          <a:ext cx="500642" cy="17644"/>
        </a:xfrm>
        <a:custGeom>
          <a:avLst/>
          <a:gdLst/>
          <a:ahLst/>
          <a:cxnLst/>
          <a:rect l="0" t="0" r="0" b="0"/>
          <a:pathLst>
            <a:path>
              <a:moveTo>
                <a:pt x="0" y="8822"/>
              </a:moveTo>
              <a:lnTo>
                <a:pt x="500642"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de-DE" sz="800" kern="1200">
            <a:latin typeface="Arial" panose="020B0604020202020204" pitchFamily="34" charset="0"/>
            <a:cs typeface="Arial" panose="020B0604020202020204" pitchFamily="34" charset="0"/>
          </a:endParaRPr>
        </a:p>
      </dsp:txBody>
      <dsp:txXfrm>
        <a:off x="4227527" y="1556877"/>
        <a:ext cx="25032" cy="25032"/>
      </dsp:txXfrm>
    </dsp:sp>
    <dsp:sp modelId="{DCA09555-6C52-4E6D-843F-DAB05ADC9750}">
      <dsp:nvSpPr>
        <dsp:cNvPr id="0" name=""/>
        <dsp:cNvSpPr/>
      </dsp:nvSpPr>
      <dsp:spPr>
        <a:xfrm>
          <a:off x="4443308" y="1169215"/>
          <a:ext cx="1373531"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Information on desing and manufacturing</a:t>
          </a:r>
        </a:p>
      </dsp:txBody>
      <dsp:txXfrm>
        <a:off x="4458192" y="1184099"/>
        <a:ext cx="1343763" cy="478394"/>
      </dsp:txXfrm>
    </dsp:sp>
    <dsp:sp modelId="{F5E15C9E-D866-4D76-BEEB-AE1FD6AD3175}">
      <dsp:nvSpPr>
        <dsp:cNvPr id="0" name=""/>
        <dsp:cNvSpPr/>
      </dsp:nvSpPr>
      <dsp:spPr>
        <a:xfrm rot="2142401">
          <a:off x="3989722" y="1852764"/>
          <a:ext cx="500642" cy="17644"/>
        </a:xfrm>
        <a:custGeom>
          <a:avLst/>
          <a:gdLst/>
          <a:ahLst/>
          <a:cxnLst/>
          <a:rect l="0" t="0" r="0" b="0"/>
          <a:pathLst>
            <a:path>
              <a:moveTo>
                <a:pt x="0" y="8822"/>
              </a:moveTo>
              <a:lnTo>
                <a:pt x="500642"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de-DE" sz="800" kern="1200">
            <a:latin typeface="Arial" panose="020B0604020202020204" pitchFamily="34" charset="0"/>
            <a:cs typeface="Arial" panose="020B0604020202020204" pitchFamily="34" charset="0"/>
          </a:endParaRPr>
        </a:p>
      </dsp:txBody>
      <dsp:txXfrm>
        <a:off x="4227527" y="1849070"/>
        <a:ext cx="25032" cy="25032"/>
      </dsp:txXfrm>
    </dsp:sp>
    <dsp:sp modelId="{7F6B7BAC-3DEA-4CEE-9318-6BFA3245BB98}">
      <dsp:nvSpPr>
        <dsp:cNvPr id="0" name=""/>
        <dsp:cNvSpPr/>
      </dsp:nvSpPr>
      <dsp:spPr>
        <a:xfrm>
          <a:off x="4443308" y="1753602"/>
          <a:ext cx="1373531"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Essential safety and performance requirements</a:t>
          </a:r>
        </a:p>
      </dsp:txBody>
      <dsp:txXfrm>
        <a:off x="4458192" y="1768486"/>
        <a:ext cx="1343763" cy="478394"/>
      </dsp:txXfrm>
    </dsp:sp>
    <dsp:sp modelId="{9E91FAF4-CF88-4FC9-B8A7-87A96B8BFD3E}">
      <dsp:nvSpPr>
        <dsp:cNvPr id="0" name=""/>
        <dsp:cNvSpPr/>
      </dsp:nvSpPr>
      <dsp:spPr>
        <a:xfrm rot="3907178">
          <a:off x="3756913" y="2144958"/>
          <a:ext cx="966260" cy="17644"/>
        </a:xfrm>
        <a:custGeom>
          <a:avLst/>
          <a:gdLst/>
          <a:ahLst/>
          <a:cxnLst/>
          <a:rect l="0" t="0" r="0" b="0"/>
          <a:pathLst>
            <a:path>
              <a:moveTo>
                <a:pt x="0" y="8822"/>
              </a:moveTo>
              <a:lnTo>
                <a:pt x="966260"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de-DE" sz="800" kern="1200">
            <a:latin typeface="Arial" panose="020B0604020202020204" pitchFamily="34" charset="0"/>
            <a:cs typeface="Arial" panose="020B0604020202020204" pitchFamily="34" charset="0"/>
          </a:endParaRPr>
        </a:p>
      </dsp:txBody>
      <dsp:txXfrm>
        <a:off x="4215887" y="2129623"/>
        <a:ext cx="48313" cy="48313"/>
      </dsp:txXfrm>
    </dsp:sp>
    <dsp:sp modelId="{CA604AF3-81AF-44D2-A301-BF0DB597D744}">
      <dsp:nvSpPr>
        <dsp:cNvPr id="0" name=""/>
        <dsp:cNvSpPr/>
      </dsp:nvSpPr>
      <dsp:spPr>
        <a:xfrm>
          <a:off x="4443308" y="2337988"/>
          <a:ext cx="1373531"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Risk-benefit analysis and risk management</a:t>
          </a:r>
        </a:p>
      </dsp:txBody>
      <dsp:txXfrm>
        <a:off x="4458192" y="2352872"/>
        <a:ext cx="1343763" cy="478394"/>
      </dsp:txXfrm>
    </dsp:sp>
    <dsp:sp modelId="{8D02B593-B800-4065-8B28-4CA32DD3C192}">
      <dsp:nvSpPr>
        <dsp:cNvPr id="0" name=""/>
        <dsp:cNvSpPr/>
      </dsp:nvSpPr>
      <dsp:spPr>
        <a:xfrm rot="4467012">
          <a:off x="3481807" y="2437151"/>
          <a:ext cx="1516472" cy="17644"/>
        </a:xfrm>
        <a:custGeom>
          <a:avLst/>
          <a:gdLst/>
          <a:ahLst/>
          <a:cxnLst/>
          <a:rect l="0" t="0" r="0" b="0"/>
          <a:pathLst>
            <a:path>
              <a:moveTo>
                <a:pt x="0" y="8822"/>
              </a:moveTo>
              <a:lnTo>
                <a:pt x="1516472"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de-DE" sz="800" kern="1200">
            <a:latin typeface="Arial" panose="020B0604020202020204" pitchFamily="34" charset="0"/>
            <a:cs typeface="Arial" panose="020B0604020202020204" pitchFamily="34" charset="0"/>
          </a:endParaRPr>
        </a:p>
      </dsp:txBody>
      <dsp:txXfrm>
        <a:off x="4202131" y="2408061"/>
        <a:ext cx="75823" cy="75823"/>
      </dsp:txXfrm>
    </dsp:sp>
    <dsp:sp modelId="{E2E9EB91-8CD4-4746-9E3A-D629E6426938}">
      <dsp:nvSpPr>
        <dsp:cNvPr id="0" name=""/>
        <dsp:cNvSpPr/>
      </dsp:nvSpPr>
      <dsp:spPr>
        <a:xfrm>
          <a:off x="4443308" y="2922375"/>
          <a:ext cx="1373531"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Verification and validation of the product</a:t>
          </a:r>
        </a:p>
      </dsp:txBody>
      <dsp:txXfrm>
        <a:off x="4458192" y="2937259"/>
        <a:ext cx="1343763" cy="478394"/>
      </dsp:txXfrm>
    </dsp:sp>
    <dsp:sp modelId="{4521099D-48E1-454B-A556-DC200F628993}">
      <dsp:nvSpPr>
        <dsp:cNvPr id="0" name=""/>
        <dsp:cNvSpPr/>
      </dsp:nvSpPr>
      <dsp:spPr>
        <a:xfrm rot="19457599">
          <a:off x="5769783" y="3021537"/>
          <a:ext cx="500642" cy="17644"/>
        </a:xfrm>
        <a:custGeom>
          <a:avLst/>
          <a:gdLst/>
          <a:ahLst/>
          <a:cxnLst/>
          <a:rect l="0" t="0" r="0" b="0"/>
          <a:pathLst>
            <a:path>
              <a:moveTo>
                <a:pt x="0" y="8822"/>
              </a:moveTo>
              <a:lnTo>
                <a:pt x="500642"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de-DE" sz="500" kern="1200"/>
        </a:p>
      </dsp:txBody>
      <dsp:txXfrm>
        <a:off x="6007589" y="3017843"/>
        <a:ext cx="25032" cy="25032"/>
      </dsp:txXfrm>
    </dsp:sp>
    <dsp:sp modelId="{B230355E-489A-4D41-8014-9CF3EA1EB3BF}">
      <dsp:nvSpPr>
        <dsp:cNvPr id="0" name=""/>
        <dsp:cNvSpPr/>
      </dsp:nvSpPr>
      <dsp:spPr>
        <a:xfrm>
          <a:off x="6223370" y="2630182"/>
          <a:ext cx="1016324"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preclinical data</a:t>
          </a:r>
        </a:p>
      </dsp:txBody>
      <dsp:txXfrm>
        <a:off x="6238254" y="2645066"/>
        <a:ext cx="986556" cy="478394"/>
      </dsp:txXfrm>
    </dsp:sp>
    <dsp:sp modelId="{5DA137DA-DF59-409D-B579-425029F496FE}">
      <dsp:nvSpPr>
        <dsp:cNvPr id="0" name=""/>
        <dsp:cNvSpPr/>
      </dsp:nvSpPr>
      <dsp:spPr>
        <a:xfrm rot="2142401">
          <a:off x="5769783" y="3313731"/>
          <a:ext cx="500642" cy="17644"/>
        </a:xfrm>
        <a:custGeom>
          <a:avLst/>
          <a:gdLst/>
          <a:ahLst/>
          <a:cxnLst/>
          <a:rect l="0" t="0" r="0" b="0"/>
          <a:pathLst>
            <a:path>
              <a:moveTo>
                <a:pt x="0" y="8822"/>
              </a:moveTo>
              <a:lnTo>
                <a:pt x="500642"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de-DE" sz="500" kern="1200"/>
        </a:p>
      </dsp:txBody>
      <dsp:txXfrm>
        <a:off x="6007589" y="3310037"/>
        <a:ext cx="25032" cy="25032"/>
      </dsp:txXfrm>
    </dsp:sp>
    <dsp:sp modelId="{2D38B86E-E337-4782-AC84-D624960B4626}">
      <dsp:nvSpPr>
        <dsp:cNvPr id="0" name=""/>
        <dsp:cNvSpPr/>
      </dsp:nvSpPr>
      <dsp:spPr>
        <a:xfrm>
          <a:off x="6223370" y="3214568"/>
          <a:ext cx="1016324" cy="508162"/>
        </a:xfrm>
        <a:prstGeom prst="roundRect">
          <a:avLst>
            <a:gd name="adj" fmla="val 10000"/>
          </a:avLst>
        </a:prstGeom>
        <a:solidFill>
          <a:schemeClr val="accent1">
            <a:hueOff val="0"/>
            <a:satOff val="0"/>
            <a:lumOff val="0"/>
            <a:alphaOff val="0"/>
          </a:scheme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clinical data</a:t>
          </a:r>
        </a:p>
      </dsp:txBody>
      <dsp:txXfrm>
        <a:off x="6238254" y="3229452"/>
        <a:ext cx="986556" cy="478394"/>
      </dsp:txXfrm>
    </dsp:sp>
    <dsp:sp modelId="{712E780D-3101-491C-8C59-D8AE291B1A78}">
      <dsp:nvSpPr>
        <dsp:cNvPr id="0" name=""/>
        <dsp:cNvSpPr/>
      </dsp:nvSpPr>
      <dsp:spPr>
        <a:xfrm rot="2951653">
          <a:off x="1622135" y="3708784"/>
          <a:ext cx="1695613" cy="17644"/>
        </a:xfrm>
        <a:custGeom>
          <a:avLst/>
          <a:gdLst/>
          <a:ahLst/>
          <a:cxnLst/>
          <a:rect l="0" t="0" r="0" b="0"/>
          <a:pathLst>
            <a:path>
              <a:moveTo>
                <a:pt x="0" y="8822"/>
              </a:moveTo>
              <a:lnTo>
                <a:pt x="1695613" y="8822"/>
              </a:lnTo>
            </a:path>
          </a:pathLst>
        </a:custGeom>
        <a:noFill/>
        <a:ln w="25400" cap="flat" cmpd="sng" algn="ctr">
          <a:solidFill>
            <a:srgbClr val="92D050"/>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de-DE" sz="800" kern="1200">
            <a:latin typeface="Arial" panose="020B0604020202020204" pitchFamily="34" charset="0"/>
            <a:cs typeface="Arial" panose="020B0604020202020204" pitchFamily="34" charset="0"/>
          </a:endParaRPr>
        </a:p>
      </dsp:txBody>
      <dsp:txXfrm>
        <a:off x="2427551" y="3675216"/>
        <a:ext cx="84780" cy="84780"/>
      </dsp:txXfrm>
    </dsp:sp>
    <dsp:sp modelId="{D4F14A88-87F8-46A7-A563-C731355723E4}">
      <dsp:nvSpPr>
        <dsp:cNvPr id="0" name=""/>
        <dsp:cNvSpPr/>
      </dsp:nvSpPr>
      <dsp:spPr>
        <a:xfrm>
          <a:off x="3023981" y="4024759"/>
          <a:ext cx="1016324" cy="669153"/>
        </a:xfrm>
        <a:prstGeom prst="roundRect">
          <a:avLst>
            <a:gd name="adj" fmla="val 10000"/>
          </a:avLst>
        </a:prstGeom>
        <a:solidFill>
          <a:srgbClr val="92D050"/>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Annex III: Technical documentation on post-market surveillance</a:t>
          </a:r>
        </a:p>
      </dsp:txBody>
      <dsp:txXfrm>
        <a:off x="3043580" y="4044358"/>
        <a:ext cx="977126" cy="629955"/>
      </dsp:txXfrm>
    </dsp:sp>
    <dsp:sp modelId="{917ADD1D-96AB-40F2-8C74-376C23B883AC}">
      <dsp:nvSpPr>
        <dsp:cNvPr id="0" name=""/>
        <dsp:cNvSpPr/>
      </dsp:nvSpPr>
      <dsp:spPr>
        <a:xfrm rot="18237292">
          <a:off x="3881042" y="4051267"/>
          <a:ext cx="721529" cy="17644"/>
        </a:xfrm>
        <a:custGeom>
          <a:avLst/>
          <a:gdLst/>
          <a:ahLst/>
          <a:cxnLst/>
          <a:rect l="0" t="0" r="0" b="0"/>
          <a:pathLst>
            <a:path>
              <a:moveTo>
                <a:pt x="0" y="8822"/>
              </a:moveTo>
              <a:lnTo>
                <a:pt x="721529"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de-DE" sz="800" kern="1200">
            <a:latin typeface="Arial" panose="020B0604020202020204" pitchFamily="34" charset="0"/>
            <a:cs typeface="Arial" panose="020B0604020202020204" pitchFamily="34" charset="0"/>
          </a:endParaRPr>
        </a:p>
      </dsp:txBody>
      <dsp:txXfrm>
        <a:off x="4223768" y="4042051"/>
        <a:ext cx="36076" cy="36076"/>
      </dsp:txXfrm>
    </dsp:sp>
    <dsp:sp modelId="{5512C0F9-772A-41FF-8B9E-521AE76E0111}">
      <dsp:nvSpPr>
        <dsp:cNvPr id="0" name=""/>
        <dsp:cNvSpPr/>
      </dsp:nvSpPr>
      <dsp:spPr>
        <a:xfrm>
          <a:off x="4443308" y="3506761"/>
          <a:ext cx="1373531" cy="508162"/>
        </a:xfrm>
        <a:prstGeom prst="roundRect">
          <a:avLst>
            <a:gd name="adj" fmla="val 10000"/>
          </a:avLst>
        </a:prstGeom>
        <a:solidFill>
          <a:srgbClr val="92D050"/>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Post-market surveillance plan and report</a:t>
          </a:r>
        </a:p>
      </dsp:txBody>
      <dsp:txXfrm>
        <a:off x="4458192" y="3521645"/>
        <a:ext cx="1343763" cy="478394"/>
      </dsp:txXfrm>
    </dsp:sp>
    <dsp:sp modelId="{9FA8A87F-2642-411B-8172-CB9F3A690545}">
      <dsp:nvSpPr>
        <dsp:cNvPr id="0" name=""/>
        <dsp:cNvSpPr/>
      </dsp:nvSpPr>
      <dsp:spPr>
        <a:xfrm rot="21479715">
          <a:off x="4040182" y="4343460"/>
          <a:ext cx="403249" cy="17644"/>
        </a:xfrm>
        <a:custGeom>
          <a:avLst/>
          <a:gdLst/>
          <a:ahLst/>
          <a:cxnLst/>
          <a:rect l="0" t="0" r="0" b="0"/>
          <a:pathLst>
            <a:path>
              <a:moveTo>
                <a:pt x="0" y="8822"/>
              </a:moveTo>
              <a:lnTo>
                <a:pt x="403249"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de-DE" sz="500" kern="1200"/>
        </a:p>
      </dsp:txBody>
      <dsp:txXfrm>
        <a:off x="4231725" y="4342201"/>
        <a:ext cx="20162" cy="20162"/>
      </dsp:txXfrm>
    </dsp:sp>
    <dsp:sp modelId="{2567733E-111A-4263-A2B1-FC416BE85B17}">
      <dsp:nvSpPr>
        <dsp:cNvPr id="0" name=""/>
        <dsp:cNvSpPr/>
      </dsp:nvSpPr>
      <dsp:spPr>
        <a:xfrm>
          <a:off x="4443308" y="4091148"/>
          <a:ext cx="1372942" cy="508162"/>
        </a:xfrm>
        <a:prstGeom prst="roundRect">
          <a:avLst>
            <a:gd name="adj" fmla="val 10000"/>
          </a:avLst>
        </a:prstGeom>
        <a:solidFill>
          <a:srgbClr val="92D050"/>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de-DE" sz="600" kern="1200">
              <a:latin typeface="Arial" panose="020B0604020202020204" pitchFamily="34" charset="0"/>
              <a:cs typeface="Arial" panose="020B0604020202020204" pitchFamily="34" charset="0"/>
            </a:rPr>
            <a:t>If applicable PMCF plan and report as part of the PMS plan and report</a:t>
          </a:r>
        </a:p>
      </dsp:txBody>
      <dsp:txXfrm>
        <a:off x="4458192" y="4106032"/>
        <a:ext cx="1343174" cy="478394"/>
      </dsp:txXfrm>
    </dsp:sp>
    <dsp:sp modelId="{9E7517CC-C0B2-4D55-B3C4-A44E6C1C6434}">
      <dsp:nvSpPr>
        <dsp:cNvPr id="0" name=""/>
        <dsp:cNvSpPr/>
      </dsp:nvSpPr>
      <dsp:spPr>
        <a:xfrm rot="3285124">
          <a:off x="3892654" y="4635653"/>
          <a:ext cx="698305" cy="17644"/>
        </a:xfrm>
        <a:custGeom>
          <a:avLst/>
          <a:gdLst/>
          <a:ahLst/>
          <a:cxnLst/>
          <a:rect l="0" t="0" r="0" b="0"/>
          <a:pathLst>
            <a:path>
              <a:moveTo>
                <a:pt x="0" y="8822"/>
              </a:moveTo>
              <a:lnTo>
                <a:pt x="698305" y="882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de-DE" sz="800" kern="1200">
            <a:latin typeface="Arial" panose="020B0604020202020204" pitchFamily="34" charset="0"/>
            <a:cs typeface="Arial" panose="020B0604020202020204" pitchFamily="34" charset="0"/>
          </a:endParaRPr>
        </a:p>
      </dsp:txBody>
      <dsp:txXfrm>
        <a:off x="4224349" y="4627018"/>
        <a:ext cx="34915" cy="34915"/>
      </dsp:txXfrm>
    </dsp:sp>
    <dsp:sp modelId="{30C67BFD-2341-4F0E-B322-673600E08139}">
      <dsp:nvSpPr>
        <dsp:cNvPr id="0" name=""/>
        <dsp:cNvSpPr/>
      </dsp:nvSpPr>
      <dsp:spPr>
        <a:xfrm>
          <a:off x="4443308" y="4675534"/>
          <a:ext cx="1373531" cy="508162"/>
        </a:xfrm>
        <a:prstGeom prst="roundRect">
          <a:avLst>
            <a:gd name="adj" fmla="val 10000"/>
          </a:avLst>
        </a:prstGeom>
        <a:solidFill>
          <a:srgbClr val="92D050"/>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de-DE" sz="800" kern="1200">
              <a:latin typeface="Arial" panose="020B0604020202020204" pitchFamily="34" charset="0"/>
              <a:cs typeface="Arial" panose="020B0604020202020204" pitchFamily="34" charset="0"/>
            </a:rPr>
            <a:t>PSUR, if applicable SSCP</a:t>
          </a:r>
        </a:p>
      </dsp:txBody>
      <dsp:txXfrm>
        <a:off x="4458192" y="4690418"/>
        <a:ext cx="1343763" cy="47839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E20EE-1892-440E-B029-760AAE2E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2555</Words>
  <Characters>16098</Characters>
  <Application>Microsoft Office Word</Application>
  <DocSecurity>0</DocSecurity>
  <Lines>134</Lines>
  <Paragraphs>37</Paragraphs>
  <ScaleCrop>false</ScaleCrop>
  <HeadingPairs>
    <vt:vector size="2" baseType="variant">
      <vt:variant>
        <vt:lpstr>Titel</vt:lpstr>
      </vt:variant>
      <vt:variant>
        <vt:i4>1</vt:i4>
      </vt:variant>
    </vt:vector>
  </HeadingPairs>
  <TitlesOfParts>
    <vt:vector size="1" baseType="lpstr">
      <vt:lpstr/>
    </vt:vector>
  </TitlesOfParts>
  <Company>DQS GmbH</Company>
  <LinksUpToDate>false</LinksUpToDate>
  <CharactersWithSpaces>18616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Neibecker, Markus</dc:creator>
  <cp:keywords/>
  <dc:description/>
  <cp:lastModifiedBy>Bothe, Michael</cp:lastModifiedBy>
  <cp:revision>3</cp:revision>
  <dcterms:created xsi:type="dcterms:W3CDTF">2020-08-10T08:21:00Z</dcterms:created>
  <dcterms:modified xsi:type="dcterms:W3CDTF">2020-08-10T08:26:00Z</dcterms:modified>
</cp:coreProperties>
</file>